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A717C" w14:textId="2459AE12" w:rsidR="004762FE" w:rsidRDefault="004762FE" w:rsidP="003E5C36">
      <w:pPr>
        <w:pStyle w:val="FiBLmmzwischentitel"/>
        <w:sectPr w:rsidR="004762FE" w:rsidSect="001B31D5">
          <w:headerReference w:type="default" r:id="rId11"/>
          <w:footerReference w:type="default" r:id="rId12"/>
          <w:type w:val="continuous"/>
          <w:pgSz w:w="11906" w:h="16838"/>
          <w:pgMar w:top="2268" w:right="1701" w:bottom="1701" w:left="1701" w:header="1134" w:footer="567" w:gutter="0"/>
          <w:cols w:space="708"/>
          <w:docGrid w:linePitch="360"/>
        </w:sectPr>
      </w:pPr>
      <w:r>
        <w:t>Medienmitteilung</w:t>
      </w:r>
    </w:p>
    <w:p w14:paraId="7D4A717D" w14:textId="03F7862A" w:rsidR="00DE44EA" w:rsidRDefault="000D5762" w:rsidP="00DE44EA">
      <w:pPr>
        <w:pStyle w:val="FiBLmmtitel"/>
      </w:pPr>
      <w:r w:rsidRPr="000D5762">
        <w:t xml:space="preserve">Was der </w:t>
      </w:r>
      <w:r>
        <w:t>Biola</w:t>
      </w:r>
      <w:r w:rsidRPr="000D5762">
        <w:t>ndbau für Umwelt und Gesellschaft leistet</w:t>
      </w:r>
      <w:r w:rsidR="00650F0C">
        <w:t xml:space="preserve"> – Metastudie liefert umfassende Resultate</w:t>
      </w:r>
    </w:p>
    <w:p w14:paraId="2942996A" w14:textId="25D8D5B9" w:rsidR="000D5762" w:rsidRPr="000D5762" w:rsidRDefault="00650F0C" w:rsidP="000D5762">
      <w:pPr>
        <w:pStyle w:val="FiBLmmlead"/>
      </w:pPr>
      <w:r>
        <w:t xml:space="preserve">Eine </w:t>
      </w:r>
      <w:r w:rsidR="000D5762" w:rsidRPr="000D5762">
        <w:t xml:space="preserve">Auswertung </w:t>
      </w:r>
      <w:r>
        <w:t xml:space="preserve">von über 500 </w:t>
      </w:r>
      <w:r w:rsidR="000D5762" w:rsidRPr="000D5762">
        <w:t>wissenschaftliche</w:t>
      </w:r>
      <w:r>
        <w:t>n</w:t>
      </w:r>
      <w:r w:rsidR="000D5762" w:rsidRPr="000D5762">
        <w:t xml:space="preserve"> Veröffentlichungen </w:t>
      </w:r>
      <w:r>
        <w:t>– eine sogenannte Metastudie – analysiert die Potenziale des Biolandbaus</w:t>
      </w:r>
      <w:r w:rsidR="000D5762">
        <w:t xml:space="preserve">. </w:t>
      </w:r>
      <w:r>
        <w:t xml:space="preserve">Sie zeigen, dass dieser in vielen Bereichen eine tiefere Umweltbelastung zur Folge hat, als andere Wirtschaftsformen. In einem neuen Podcast erläutert der </w:t>
      </w:r>
      <w:r w:rsidR="00B35BD3">
        <w:t xml:space="preserve">Hauptautor </w:t>
      </w:r>
      <w:r>
        <w:t>und FiBL Geschäftsleitungsvorsitzende Jürn Sanders die Ergebnisse.</w:t>
      </w:r>
    </w:p>
    <w:p w14:paraId="4D3AE035" w14:textId="47BB1A5C" w:rsidR="00736015" w:rsidRDefault="00537EED" w:rsidP="00736015">
      <w:pPr>
        <w:pStyle w:val="FiBLmmfusszeile"/>
      </w:pPr>
      <w:r>
        <w:rPr>
          <w:noProof/>
        </w:rPr>
        <w:drawing>
          <wp:inline distT="0" distB="0" distL="0" distR="0" wp14:anchorId="019A9851" wp14:editId="31A46A0F">
            <wp:extent cx="5400040" cy="30372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odiversität_Simona_Moosman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015" w:rsidRPr="00736015">
        <w:t xml:space="preserve"> </w:t>
      </w:r>
      <w:r w:rsidR="00736015">
        <w:br/>
      </w:r>
      <w:bookmarkStart w:id="0" w:name="_Hlk194939419"/>
      <w:r w:rsidR="00736015">
        <w:t xml:space="preserve">Der Biolandbau hat positive Auswirkungen bei der Biodiversität: Die </w:t>
      </w:r>
      <w:r w:rsidR="00736015" w:rsidRPr="000D5762">
        <w:t xml:space="preserve">Artenzahl </w:t>
      </w:r>
      <w:r w:rsidR="00736015">
        <w:t xml:space="preserve">von </w:t>
      </w:r>
      <w:proofErr w:type="spellStart"/>
      <w:r w:rsidR="00736015" w:rsidRPr="000D5762">
        <w:t>Ackerflora</w:t>
      </w:r>
      <w:bookmarkStart w:id="1" w:name="_GoBack"/>
      <w:bookmarkEnd w:id="1"/>
      <w:proofErr w:type="spellEnd"/>
      <w:r>
        <w:br/>
      </w:r>
      <w:r w:rsidR="00736015">
        <w:t>(</w:t>
      </w:r>
      <w:r>
        <w:t xml:space="preserve">plus </w:t>
      </w:r>
      <w:r w:rsidR="00736015">
        <w:t>9</w:t>
      </w:r>
      <w:r w:rsidR="00736015" w:rsidRPr="000D5762">
        <w:t>5</w:t>
      </w:r>
      <w:r w:rsidR="00736015">
        <w:t xml:space="preserve"> %), von </w:t>
      </w:r>
      <w:r w:rsidR="00736015" w:rsidRPr="000D5762">
        <w:t>Feldvögel</w:t>
      </w:r>
      <w:r w:rsidR="00736015">
        <w:t>n</w:t>
      </w:r>
      <w:r w:rsidR="00736015" w:rsidRPr="000D5762">
        <w:t xml:space="preserve"> </w:t>
      </w:r>
      <w:r w:rsidR="00736015">
        <w:t>(</w:t>
      </w:r>
      <w:r>
        <w:t xml:space="preserve">plus </w:t>
      </w:r>
      <w:r w:rsidR="00736015">
        <w:t>3</w:t>
      </w:r>
      <w:r w:rsidR="00736015" w:rsidRPr="000D5762">
        <w:t>5</w:t>
      </w:r>
      <w:r w:rsidR="00736015">
        <w:t xml:space="preserve"> %) und der </w:t>
      </w:r>
      <w:r w:rsidR="00736015" w:rsidRPr="000D5762">
        <w:t xml:space="preserve">blütenbesuchenden Insekten </w:t>
      </w:r>
      <w:r w:rsidR="00736015">
        <w:t>(</w:t>
      </w:r>
      <w:r>
        <w:t xml:space="preserve">plus </w:t>
      </w:r>
      <w:r w:rsidR="00736015" w:rsidRPr="000D5762">
        <w:t xml:space="preserve">23 </w:t>
      </w:r>
      <w:r w:rsidR="00736015">
        <w:t xml:space="preserve">%) ist </w:t>
      </w:r>
      <w:r>
        <w:t xml:space="preserve">gegenüber der konventionellen Produktion klar </w:t>
      </w:r>
      <w:r w:rsidR="00736015" w:rsidRPr="000D5762">
        <w:t>erhöht.</w:t>
      </w:r>
      <w:r w:rsidR="00736015">
        <w:t xml:space="preserve"> Bild: FiBL, Simona Moosmann</w:t>
      </w:r>
      <w:bookmarkEnd w:id="0"/>
    </w:p>
    <w:p w14:paraId="04C8FEF4" w14:textId="4E772E5F" w:rsidR="00736015" w:rsidRDefault="00736015" w:rsidP="00736015">
      <w:pPr>
        <w:pStyle w:val="FiBLmmfusszeile"/>
      </w:pPr>
      <w:r w:rsidRPr="000D5762">
        <w:t xml:space="preserve"> </w:t>
      </w:r>
    </w:p>
    <w:p w14:paraId="04BF5B69" w14:textId="53D5B217" w:rsidR="000D5762" w:rsidRDefault="00E06042" w:rsidP="000D5762">
      <w:pPr>
        <w:pStyle w:val="FiBLmmstandard"/>
      </w:pPr>
      <w:r w:rsidRPr="00B32619">
        <w:t xml:space="preserve">(Frick, </w:t>
      </w:r>
      <w:r w:rsidR="00B32619" w:rsidRPr="00B32619">
        <w:t>0</w:t>
      </w:r>
      <w:r w:rsidR="00D5705A">
        <w:t>8</w:t>
      </w:r>
      <w:r w:rsidRPr="00B32619">
        <w:t>.</w:t>
      </w:r>
      <w:r w:rsidR="00B32619" w:rsidRPr="00B32619">
        <w:t>04</w:t>
      </w:r>
      <w:r w:rsidRPr="00B32619">
        <w:t>.</w:t>
      </w:r>
      <w:r w:rsidR="00B32619" w:rsidRPr="00B32619">
        <w:t>2025</w:t>
      </w:r>
      <w:r w:rsidRPr="00B32619">
        <w:t>)</w:t>
      </w:r>
      <w:r w:rsidRPr="000D5762">
        <w:t xml:space="preserve"> </w:t>
      </w:r>
      <w:r w:rsidR="000D5762" w:rsidRPr="000D5762">
        <w:t xml:space="preserve">Der </w:t>
      </w:r>
      <w:r w:rsidR="000D5762">
        <w:t>Biolandbau</w:t>
      </w:r>
      <w:r w:rsidR="000D5762" w:rsidRPr="000D5762">
        <w:t xml:space="preserve"> gilt als nachhaltige </w:t>
      </w:r>
      <w:r w:rsidR="00B32619">
        <w:t>Bewirtschaftungsform, deshalb wird er spezifisch gefördert</w:t>
      </w:r>
      <w:r w:rsidR="000D5762" w:rsidRPr="000D5762">
        <w:t>. Allerdings gibt es in Politik und Wissenschaft</w:t>
      </w:r>
      <w:r w:rsidR="000D5762">
        <w:t xml:space="preserve"> </w:t>
      </w:r>
      <w:r w:rsidR="000D5762" w:rsidRPr="000D5762">
        <w:t>unterschiedliche Einschätzungen hinsichtlich seiner Potenziale. Um einen fundierten Überblick</w:t>
      </w:r>
      <w:r w:rsidR="000D5762">
        <w:t xml:space="preserve"> </w:t>
      </w:r>
      <w:r w:rsidR="000D5762" w:rsidRPr="000D5762">
        <w:t>über den aktuellen Stand des Wissens zu bekommen und die gesellschaftlichen Leistungen des</w:t>
      </w:r>
      <w:r w:rsidR="000D5762">
        <w:t xml:space="preserve"> </w:t>
      </w:r>
      <w:r w:rsidR="00B32619">
        <w:t>Bio</w:t>
      </w:r>
      <w:r w:rsidR="000D5762" w:rsidRPr="000D5762">
        <w:t xml:space="preserve">landbaus differenziert zu bewerten, hat </w:t>
      </w:r>
      <w:r w:rsidR="00B35BD3">
        <w:t xml:space="preserve">ein Forschungskonsortium </w:t>
      </w:r>
      <w:r w:rsidR="000D5762" w:rsidRPr="000D5762">
        <w:t xml:space="preserve">die wissenschaftliche Literatur zu diesem Thema ausgewertet. </w:t>
      </w:r>
    </w:p>
    <w:p w14:paraId="7A583165" w14:textId="4FA81E40" w:rsidR="000D5762" w:rsidRPr="000D5762" w:rsidRDefault="000D5762" w:rsidP="000D5762">
      <w:pPr>
        <w:pStyle w:val="FiBLmmstandard"/>
      </w:pPr>
      <w:r w:rsidRPr="000D5762">
        <w:t>Besonderes</w:t>
      </w:r>
      <w:r>
        <w:t xml:space="preserve"> </w:t>
      </w:r>
      <w:r w:rsidRPr="000D5762">
        <w:t xml:space="preserve">Augenmerk wurde </w:t>
      </w:r>
      <w:r w:rsidR="00B32619">
        <w:t xml:space="preserve">in der Studie </w:t>
      </w:r>
      <w:r w:rsidRPr="000D5762">
        <w:t xml:space="preserve">auf die Bereiche Wasserschutz, Bodenfruchtbarkeit, </w:t>
      </w:r>
      <w:r>
        <w:t>Biodiversität</w:t>
      </w:r>
      <w:r w:rsidRPr="000D5762">
        <w:t>,</w:t>
      </w:r>
      <w:r>
        <w:t xml:space="preserve"> </w:t>
      </w:r>
      <w:r w:rsidRPr="000D5762">
        <w:t xml:space="preserve">Klimaschutz und -anpassung, Ressourceneffizienz </w:t>
      </w:r>
      <w:r w:rsidR="00572A63">
        <w:t>sowie</w:t>
      </w:r>
      <w:r w:rsidRPr="000D5762">
        <w:t xml:space="preserve"> Tierwohl gelegt. </w:t>
      </w:r>
      <w:r w:rsidR="00746184">
        <w:t xml:space="preserve">Die Studienautor*innen haben </w:t>
      </w:r>
      <w:r w:rsidRPr="000D5762">
        <w:t>528 Veröffentlichungen ausgewertet, in denen insgesamt 33</w:t>
      </w:r>
      <w:r w:rsidR="00650F0C">
        <w:t xml:space="preserve"> </w:t>
      </w:r>
      <w:r w:rsidRPr="000D5762">
        <w:t xml:space="preserve">Vergleichsparameter zwischen </w:t>
      </w:r>
      <w:r>
        <w:t>biologisch</w:t>
      </w:r>
      <w:r w:rsidRPr="000D5762">
        <w:t xml:space="preserve"> und konventionell wirtschaftenden Betrieben</w:t>
      </w:r>
      <w:r>
        <w:t xml:space="preserve"> </w:t>
      </w:r>
      <w:r w:rsidRPr="000D5762">
        <w:t xml:space="preserve">betrachtet wurden. </w:t>
      </w:r>
    </w:p>
    <w:p w14:paraId="73DD82F6" w14:textId="59A91F7D" w:rsidR="000D5762" w:rsidRDefault="000D5762" w:rsidP="000D5762">
      <w:pPr>
        <w:pStyle w:val="FiBLmmstandard"/>
      </w:pPr>
      <w:r w:rsidRPr="000D5762">
        <w:lastRenderedPageBreak/>
        <w:t xml:space="preserve">Die Ergebnisse </w:t>
      </w:r>
      <w:r w:rsidR="00EE5988">
        <w:t xml:space="preserve">sind nun in der </w:t>
      </w:r>
      <w:r w:rsidR="00B35BD3">
        <w:t xml:space="preserve">internationalen </w:t>
      </w:r>
      <w:r w:rsidR="00EE5988" w:rsidRPr="00EE5988">
        <w:t>Fachzeitschrift «</w:t>
      </w:r>
      <w:proofErr w:type="spellStart"/>
      <w:r w:rsidR="00EE5988" w:rsidRPr="00EE5988">
        <w:t>Organic</w:t>
      </w:r>
      <w:proofErr w:type="spellEnd"/>
      <w:r w:rsidR="00EE5988" w:rsidRPr="00EE5988">
        <w:t xml:space="preserve"> </w:t>
      </w:r>
      <w:proofErr w:type="spellStart"/>
      <w:r w:rsidR="00EE5988" w:rsidRPr="00EE5988">
        <w:t>Agriculture</w:t>
      </w:r>
      <w:proofErr w:type="spellEnd"/>
      <w:r w:rsidR="00EE5988" w:rsidRPr="00EE5988">
        <w:t>» veröffentlich</w:t>
      </w:r>
      <w:r w:rsidR="00650F0C">
        <w:t>t worden</w:t>
      </w:r>
      <w:r w:rsidR="00B32619">
        <w:t>. Aus diesem Anlass hat Jürn Sanders</w:t>
      </w:r>
      <w:r w:rsidR="00B35BD3">
        <w:t xml:space="preserve">, Hauptautor und </w:t>
      </w:r>
      <w:r w:rsidR="00B35BD3" w:rsidRPr="00B35BD3">
        <w:t>Vorsitzende der FiBL Geschäftsleitung</w:t>
      </w:r>
      <w:r w:rsidR="00537EED">
        <w:t xml:space="preserve"> </w:t>
      </w:r>
      <w:r w:rsidR="00B32619">
        <w:t>die Resultate in einem neuen FiBL Focus Podcast unter die Lupe genommen</w:t>
      </w:r>
      <w:r w:rsidR="00650F0C">
        <w:t xml:space="preserve">. </w:t>
      </w:r>
    </w:p>
    <w:p w14:paraId="3A9C6A5C" w14:textId="50193E2D" w:rsidR="00B32619" w:rsidRDefault="00B32619" w:rsidP="00B32619">
      <w:pPr>
        <w:pStyle w:val="FiBLmmzwischentitel"/>
      </w:pPr>
      <w:r>
        <w:t>Mehr Regenwürmer</w:t>
      </w:r>
      <w:r w:rsidR="00746184">
        <w:t xml:space="preserve"> und Biodiversität</w:t>
      </w:r>
      <w:r>
        <w:t xml:space="preserve"> –</w:t>
      </w:r>
      <w:r w:rsidR="00DD2512">
        <w:t xml:space="preserve"> keine klare Tendenz beim Phosphor</w:t>
      </w:r>
    </w:p>
    <w:p w14:paraId="7A555EC1" w14:textId="55B83A32" w:rsidR="00572A63" w:rsidRDefault="00572A63" w:rsidP="00572A63">
      <w:pPr>
        <w:pStyle w:val="FiBLmmstandard"/>
      </w:pPr>
      <w:r>
        <w:t xml:space="preserve">Die Studie </w:t>
      </w:r>
      <w:r w:rsidRPr="000D5762">
        <w:t>verdeutlich</w:t>
      </w:r>
      <w:r>
        <w:t>t</w:t>
      </w:r>
      <w:r w:rsidRPr="000D5762">
        <w:t xml:space="preserve">, dass der </w:t>
      </w:r>
      <w:r>
        <w:t>Biolandbau</w:t>
      </w:r>
      <w:r w:rsidRPr="000D5762">
        <w:t xml:space="preserve"> ein hohes Potenzial zum Schutz von Grund</w:t>
      </w:r>
      <w:r>
        <w:t xml:space="preserve">- </w:t>
      </w:r>
      <w:r w:rsidRPr="000D5762">
        <w:t xml:space="preserve">und Oberflächenwasser </w:t>
      </w:r>
      <w:r w:rsidR="00746184">
        <w:t>ha</w:t>
      </w:r>
      <w:r w:rsidRPr="000D5762">
        <w:t xml:space="preserve">t. Positiv wirkt sich </w:t>
      </w:r>
      <w:r>
        <w:t xml:space="preserve">dabei </w:t>
      </w:r>
      <w:r w:rsidRPr="000D5762">
        <w:t>der Verzicht auf chemisch-synthetische Pflanzenschutzmittel aus. In den ausgewerteten Untersuchungen verminderte</w:t>
      </w:r>
      <w:r>
        <w:t xml:space="preserve"> </w:t>
      </w:r>
      <w:r w:rsidRPr="000D5762">
        <w:t xml:space="preserve">eine </w:t>
      </w:r>
      <w:r>
        <w:t>bio</w:t>
      </w:r>
      <w:r w:rsidRPr="000D5762">
        <w:t>logische Bewirtschaftung zudem die Stickstoffausträge im Mittel um 28</w:t>
      </w:r>
      <w:r>
        <w:t xml:space="preserve"> Prozent</w:t>
      </w:r>
      <w:r w:rsidRPr="000D5762">
        <w:t xml:space="preserve">. </w:t>
      </w:r>
    </w:p>
    <w:p w14:paraId="52562704" w14:textId="23F22E62" w:rsidR="000D5762" w:rsidRPr="000D5762" w:rsidRDefault="000D5762" w:rsidP="000D5762">
      <w:pPr>
        <w:pStyle w:val="FiBLmmstandard"/>
      </w:pPr>
      <w:r w:rsidRPr="000D5762">
        <w:t>Vorteile de</w:t>
      </w:r>
      <w:r>
        <w:t>s</w:t>
      </w:r>
      <w:r w:rsidRPr="000D5762">
        <w:t xml:space="preserve"> </w:t>
      </w:r>
      <w:r>
        <w:t>Biolandbaus</w:t>
      </w:r>
      <w:r w:rsidRPr="000D5762">
        <w:t xml:space="preserve"> zeigen sich auch bei der Bodenfruchtbarkeit. Die</w:t>
      </w:r>
      <w:r>
        <w:t xml:space="preserve"> </w:t>
      </w:r>
      <w:r w:rsidRPr="000D5762">
        <w:t>Häufigkeiten und Biomassen von Regenwurm-Populationen waren hier im Mittel</w:t>
      </w:r>
      <w:r>
        <w:t xml:space="preserve"> </w:t>
      </w:r>
      <w:r w:rsidRPr="000D5762">
        <w:t xml:space="preserve">um 78 bzw. 94 </w:t>
      </w:r>
      <w:r>
        <w:t>Prozent</w:t>
      </w:r>
      <w:r w:rsidRPr="000D5762">
        <w:t xml:space="preserve"> höher. Bei 62 </w:t>
      </w:r>
      <w:r>
        <w:t>Prozent</w:t>
      </w:r>
      <w:r w:rsidRPr="000D5762">
        <w:t xml:space="preserve"> der Vergleic</w:t>
      </w:r>
      <w:r w:rsidR="00746184">
        <w:t>he hatte</w:t>
      </w:r>
      <w:r w:rsidRPr="000D5762">
        <w:t xml:space="preserve"> </w:t>
      </w:r>
      <w:r w:rsidR="00746184">
        <w:t>Biolandbau</w:t>
      </w:r>
      <w:r w:rsidRPr="000D5762">
        <w:t xml:space="preserve"> im</w:t>
      </w:r>
      <w:r>
        <w:t xml:space="preserve"> </w:t>
      </w:r>
      <w:r w:rsidRPr="000D5762">
        <w:t>Oberbode</w:t>
      </w:r>
      <w:r w:rsidR="00746184">
        <w:t>n</w:t>
      </w:r>
      <w:r w:rsidRPr="000D5762">
        <w:t xml:space="preserve"> eine geringere Versauerung </w:t>
      </w:r>
      <w:r w:rsidR="00746184">
        <w:t>zur Folge</w:t>
      </w:r>
      <w:r w:rsidRPr="000D5762">
        <w:t xml:space="preserve">. Beim </w:t>
      </w:r>
      <w:r w:rsidR="00746184">
        <w:t>pflanzenverfügbaren</w:t>
      </w:r>
      <w:r>
        <w:t xml:space="preserve"> </w:t>
      </w:r>
      <w:r w:rsidRPr="000D5762">
        <w:t>Phosphor</w:t>
      </w:r>
      <w:r w:rsidR="00746184">
        <w:t>gehalt</w:t>
      </w:r>
      <w:r w:rsidRPr="000D5762">
        <w:t xml:space="preserve"> konnte hingegen keine eindeutige Tendenz festgestellt werden.</w:t>
      </w:r>
    </w:p>
    <w:p w14:paraId="1CB9EEBC" w14:textId="733A03F0" w:rsidR="000D5762" w:rsidRDefault="00746184" w:rsidP="000D5762">
      <w:pPr>
        <w:pStyle w:val="FiBLmmstandard"/>
      </w:pPr>
      <w:r>
        <w:t>Auch bei der Biodiversität gibt es p</w:t>
      </w:r>
      <w:r w:rsidR="00572A63">
        <w:t>ositive Auswirkungen des Biolandbaus</w:t>
      </w:r>
      <w:r>
        <w:t>.</w:t>
      </w:r>
      <w:r w:rsidR="009D0948">
        <w:t xml:space="preserve"> So ist etwa die </w:t>
      </w:r>
      <w:r w:rsidR="000D5762" w:rsidRPr="000D5762">
        <w:t xml:space="preserve">mittlere Artenzahl der Ackerflora um 95 </w:t>
      </w:r>
      <w:r w:rsidR="000D5762">
        <w:t>Prozent</w:t>
      </w:r>
      <w:r w:rsidR="000D5762" w:rsidRPr="000D5762">
        <w:t xml:space="preserve">, </w:t>
      </w:r>
      <w:r w:rsidR="009D0948">
        <w:t xml:space="preserve">diejenige </w:t>
      </w:r>
      <w:r w:rsidR="000D5762" w:rsidRPr="000D5762">
        <w:t>der</w:t>
      </w:r>
      <w:r w:rsidR="000D5762">
        <w:t xml:space="preserve"> </w:t>
      </w:r>
      <w:r w:rsidR="000D5762" w:rsidRPr="000D5762">
        <w:t xml:space="preserve">Feldvögel um 35 </w:t>
      </w:r>
      <w:r w:rsidR="000D5762">
        <w:t>Prozent</w:t>
      </w:r>
      <w:r w:rsidR="000D5762" w:rsidRPr="000D5762">
        <w:t xml:space="preserve"> und </w:t>
      </w:r>
      <w:r w:rsidR="009D0948">
        <w:t xml:space="preserve">die </w:t>
      </w:r>
      <w:r w:rsidR="000D5762" w:rsidRPr="000D5762">
        <w:t xml:space="preserve">der blütenbesuchenden Insekten um 23 </w:t>
      </w:r>
      <w:r w:rsidR="000D5762">
        <w:t>Prozent</w:t>
      </w:r>
      <w:r w:rsidR="000D5762" w:rsidRPr="000D5762">
        <w:t xml:space="preserve"> erhöht. </w:t>
      </w:r>
    </w:p>
    <w:p w14:paraId="13B61284" w14:textId="7DFA05F3" w:rsidR="00746184" w:rsidRDefault="00746184" w:rsidP="00746184">
      <w:pPr>
        <w:pStyle w:val="FiBLmmzwischentitel"/>
      </w:pPr>
      <w:r>
        <w:t>Klimaschutz unklar, aber positiv bei Hochwasserschutz und Ressourcenverbrauch</w:t>
      </w:r>
    </w:p>
    <w:p w14:paraId="38EDA781" w14:textId="62EF5DED" w:rsidR="000D5762" w:rsidRPr="000D5762" w:rsidRDefault="000D5762" w:rsidP="000D5762">
      <w:pPr>
        <w:pStyle w:val="FiBLmmstandard"/>
      </w:pPr>
      <w:r w:rsidRPr="000D5762">
        <w:t xml:space="preserve">Weniger eindeutig ist der Beitrag des </w:t>
      </w:r>
      <w:r>
        <w:t>Biolandbaus</w:t>
      </w:r>
      <w:r w:rsidRPr="000D5762">
        <w:t xml:space="preserve"> zum Klimaschutz. Durch eine</w:t>
      </w:r>
      <w:r>
        <w:t xml:space="preserve"> </w:t>
      </w:r>
      <w:r w:rsidRPr="000D5762">
        <w:t>höhere Kohlenstoffspeicherungsrate und verminderte Lachgasemissionen emittieren</w:t>
      </w:r>
      <w:r>
        <w:t xml:space="preserve"> Bio</w:t>
      </w:r>
      <w:r w:rsidRPr="000D5762">
        <w:rPr>
          <w:rFonts w:hint="eastAsia"/>
        </w:rPr>
        <w:t>betriebe gemä</w:t>
      </w:r>
      <w:r>
        <w:t>ss</w:t>
      </w:r>
      <w:r w:rsidRPr="000D5762">
        <w:rPr>
          <w:rFonts w:hint="eastAsia"/>
        </w:rPr>
        <w:t xml:space="preserve"> der Auswertung im Mittel 1082 kg </w:t>
      </w:r>
      <w:r w:rsidR="00EA113F">
        <w:t xml:space="preserve">effektiv </w:t>
      </w:r>
      <w:r w:rsidRPr="000D5762">
        <w:rPr>
          <w:rFonts w:hint="eastAsia"/>
        </w:rPr>
        <w:t xml:space="preserve">weniger </w:t>
      </w:r>
      <w:r w:rsidR="005367CF" w:rsidRPr="008A30E7">
        <w:t>CO</w:t>
      </w:r>
      <w:r w:rsidR="005367CF" w:rsidRPr="00F41355">
        <w:rPr>
          <w:vertAlign w:val="subscript"/>
        </w:rPr>
        <w:t>2</w:t>
      </w:r>
      <w:r>
        <w:rPr>
          <w:rFonts w:hint="eastAsia"/>
        </w:rPr>
        <w:t>-</w:t>
      </w:r>
      <w:r w:rsidRPr="000D5762">
        <w:rPr>
          <w:rFonts w:hint="eastAsia"/>
        </w:rPr>
        <w:t>Äquivalente pro Hektar</w:t>
      </w:r>
      <w:r>
        <w:t xml:space="preserve">e </w:t>
      </w:r>
      <w:r w:rsidRPr="000D5762">
        <w:t>und Jahr</w:t>
      </w:r>
      <w:r w:rsidR="00274F0C">
        <w:t>.</w:t>
      </w:r>
      <w:r w:rsidRPr="000D5762">
        <w:t xml:space="preserve"> Aufgrund des niedrigeren Ertragsniveaus im </w:t>
      </w:r>
      <w:r>
        <w:t>Biolandbau</w:t>
      </w:r>
      <w:r w:rsidRPr="000D5762">
        <w:t xml:space="preserve"> sind die ertragsbezogenen</w:t>
      </w:r>
      <w:r>
        <w:t xml:space="preserve"> </w:t>
      </w:r>
      <w:r w:rsidRPr="000D5762">
        <w:t>Klimaschutzleistungen im Vergleich zur konventionellen Landwirtschaft jedoch vermutlich</w:t>
      </w:r>
      <w:r>
        <w:t xml:space="preserve"> </w:t>
      </w:r>
      <w:r w:rsidRPr="000D5762">
        <w:t>vergleichbar.</w:t>
      </w:r>
    </w:p>
    <w:p w14:paraId="109D0C41" w14:textId="2AC1FC22" w:rsidR="000D5762" w:rsidRPr="000D5762" w:rsidRDefault="000D5762" w:rsidP="000D5762">
      <w:pPr>
        <w:pStyle w:val="FiBLmmstandard"/>
      </w:pPr>
      <w:r w:rsidRPr="000D5762">
        <w:t xml:space="preserve">Die Studienergebnisse unterstreichen zudem, dass der </w:t>
      </w:r>
      <w:r>
        <w:t>Biolandbau</w:t>
      </w:r>
      <w:r w:rsidRPr="000D5762">
        <w:t xml:space="preserve"> zur Erosionsvermeidung und zum Hochwasserschutz beitragen kann. Der </w:t>
      </w:r>
      <w:r w:rsidR="00746184">
        <w:t>H</w:t>
      </w:r>
      <w:r w:rsidRPr="000D5762">
        <w:t>umusgehalt und die Aggregatstabilität waren im</w:t>
      </w:r>
      <w:r>
        <w:t xml:space="preserve"> Biolandbau</w:t>
      </w:r>
      <w:r w:rsidRPr="000D5762">
        <w:t xml:space="preserve"> im Mittel 26 </w:t>
      </w:r>
      <w:r w:rsidR="0030539D">
        <w:t>Prozent</w:t>
      </w:r>
      <w:r w:rsidRPr="000D5762">
        <w:t xml:space="preserve"> bzw. 15 </w:t>
      </w:r>
      <w:r w:rsidR="0030539D">
        <w:t>Prozent</w:t>
      </w:r>
      <w:r w:rsidRPr="000D5762">
        <w:t xml:space="preserve"> höher; bei der Infiltration wurde ein Unterschied von</w:t>
      </w:r>
      <w:r w:rsidR="0030539D">
        <w:t xml:space="preserve"> </w:t>
      </w:r>
      <w:r w:rsidRPr="000D5762">
        <w:t xml:space="preserve">137 </w:t>
      </w:r>
      <w:r w:rsidR="0030539D">
        <w:t>Prozent</w:t>
      </w:r>
      <w:r w:rsidRPr="000D5762">
        <w:t xml:space="preserve"> festgestellt. Dadurch werden Oberflächenabfluss und Bodenabtrag vermindert.</w:t>
      </w:r>
    </w:p>
    <w:p w14:paraId="61600B80" w14:textId="418A90C7" w:rsidR="000D5762" w:rsidRPr="000D5762" w:rsidRDefault="000D5762" w:rsidP="000D5762">
      <w:pPr>
        <w:pStyle w:val="FiBLmmstandard"/>
      </w:pPr>
      <w:r w:rsidRPr="000D5762">
        <w:t xml:space="preserve">Der sparsame Ressourcenverbrauch im </w:t>
      </w:r>
      <w:r w:rsidR="0030539D">
        <w:t>Biolandbau</w:t>
      </w:r>
      <w:r w:rsidRPr="000D5762">
        <w:t xml:space="preserve"> spiegelt sich unter anderem in der</w:t>
      </w:r>
      <w:r w:rsidR="0030539D">
        <w:t xml:space="preserve"> </w:t>
      </w:r>
      <w:r w:rsidRPr="000D5762">
        <w:t xml:space="preserve">Stickstoff- und Energieeffizienz wider. In beiden Bereichen erwies sich der </w:t>
      </w:r>
      <w:r w:rsidR="0030539D">
        <w:t>Biolandbau</w:t>
      </w:r>
      <w:r w:rsidR="0030539D" w:rsidRPr="000D5762">
        <w:t xml:space="preserve"> </w:t>
      </w:r>
      <w:r w:rsidRPr="000D5762">
        <w:t xml:space="preserve">als vorteilhafter. Im Pflanzenbau war die Stickstoffeffizienz im Mittel 12 </w:t>
      </w:r>
      <w:r w:rsidR="0030539D">
        <w:t>Prozent</w:t>
      </w:r>
      <w:r w:rsidRPr="000D5762">
        <w:t>, die Energieeffizienz</w:t>
      </w:r>
      <w:r w:rsidR="0030539D">
        <w:t xml:space="preserve"> </w:t>
      </w:r>
      <w:r w:rsidRPr="000D5762">
        <w:t xml:space="preserve">19 </w:t>
      </w:r>
      <w:r w:rsidR="0030539D">
        <w:t>Prozent</w:t>
      </w:r>
      <w:r w:rsidRPr="000D5762">
        <w:t xml:space="preserve"> höher als im konventionellen Landbau.</w:t>
      </w:r>
    </w:p>
    <w:p w14:paraId="671F5823" w14:textId="2889DD12" w:rsidR="00746184" w:rsidRDefault="006071F7" w:rsidP="006071F7">
      <w:pPr>
        <w:pStyle w:val="FiBLmmzwischentitel"/>
      </w:pPr>
      <w:r>
        <w:t>B</w:t>
      </w:r>
      <w:r w:rsidR="00746184">
        <w:t>eim Tierwohl</w:t>
      </w:r>
      <w:r>
        <w:t xml:space="preserve"> scheint das Management wichtiger zu sein als die Wirtschaftsweise</w:t>
      </w:r>
    </w:p>
    <w:p w14:paraId="508CEFFF" w14:textId="6EF2792B" w:rsidR="000D5762" w:rsidRPr="000D5762" w:rsidRDefault="000D5762" w:rsidP="000D5762">
      <w:pPr>
        <w:pStyle w:val="FiBLmmstandard"/>
      </w:pPr>
      <w:r w:rsidRPr="000D5762">
        <w:t xml:space="preserve">Kein klares Bild zeigte sich beim Tierwohl. Bei 46 </w:t>
      </w:r>
      <w:r w:rsidR="0030539D">
        <w:t>Prozent</w:t>
      </w:r>
      <w:r w:rsidRPr="000D5762">
        <w:t xml:space="preserve"> der Vergleichspaare wurden keine</w:t>
      </w:r>
      <w:r w:rsidR="0030539D">
        <w:t xml:space="preserve"> </w:t>
      </w:r>
      <w:r w:rsidRPr="000D5762">
        <w:t>eindeutigen Unterschiede zwischen ökologischer und konventioneller Tierhaltung festgestellt.</w:t>
      </w:r>
      <w:r w:rsidR="0030539D">
        <w:t xml:space="preserve"> </w:t>
      </w:r>
      <w:r w:rsidRPr="000D5762">
        <w:t xml:space="preserve">Die </w:t>
      </w:r>
      <w:r w:rsidR="0030539D">
        <w:t>bio</w:t>
      </w:r>
      <w:r w:rsidRPr="000D5762">
        <w:t xml:space="preserve">logische Wirtschaftsweise wies bei 35 </w:t>
      </w:r>
      <w:r w:rsidR="0030539D">
        <w:t>Prozent</w:t>
      </w:r>
      <w:r w:rsidRPr="000D5762">
        <w:t xml:space="preserve"> der Vergleichspaare Vorteile auf, die</w:t>
      </w:r>
      <w:r w:rsidR="0030539D">
        <w:t xml:space="preserve"> </w:t>
      </w:r>
      <w:r w:rsidRPr="000D5762">
        <w:t xml:space="preserve">konventionelle bei 19 </w:t>
      </w:r>
      <w:r w:rsidR="0030539D">
        <w:t>Prozent</w:t>
      </w:r>
      <w:r w:rsidRPr="000D5762">
        <w:t>. Bei der Tiergesundheit sind keine grundlegenden Unterschiede</w:t>
      </w:r>
      <w:r w:rsidR="0030539D">
        <w:t xml:space="preserve"> </w:t>
      </w:r>
      <w:r w:rsidRPr="000D5762">
        <w:t>festzustellen; das Management scheint hier entscheidender zu sein als die Wirtschaftsweise.</w:t>
      </w:r>
    </w:p>
    <w:p w14:paraId="7D4A7185" w14:textId="7AD75F77" w:rsidR="00F6745D" w:rsidRPr="00736015" w:rsidRDefault="000D5762" w:rsidP="00572A63">
      <w:pPr>
        <w:pStyle w:val="FiBLmmstandard"/>
      </w:pPr>
      <w:r w:rsidRPr="000D5762">
        <w:rPr>
          <w:rFonts w:hint="eastAsia"/>
        </w:rPr>
        <w:t>A</w:t>
      </w:r>
      <w:r w:rsidR="00B35BD3">
        <w:t xml:space="preserve">n der Veröffentlichung </w:t>
      </w:r>
      <w:r w:rsidRPr="000D5762">
        <w:rPr>
          <w:rFonts w:hint="eastAsia"/>
        </w:rPr>
        <w:t xml:space="preserve">waren </w:t>
      </w:r>
      <w:r w:rsidR="00B35BD3">
        <w:t>neben dem FiB</w:t>
      </w:r>
      <w:r w:rsidR="00736015">
        <w:t>L</w:t>
      </w:r>
      <w:r w:rsidR="00B35BD3">
        <w:t xml:space="preserve"> auch </w:t>
      </w:r>
      <w:r w:rsidRPr="000D5762">
        <w:rPr>
          <w:rFonts w:hint="eastAsia"/>
        </w:rPr>
        <w:t xml:space="preserve">das </w:t>
      </w:r>
      <w:r w:rsidR="00C14CE6" w:rsidRPr="00C14CE6">
        <w:t>Thünen</w:t>
      </w:r>
      <w:r w:rsidR="00572A63">
        <w:t>-</w:t>
      </w:r>
      <w:r w:rsidRPr="000D5762">
        <w:rPr>
          <w:rFonts w:hint="eastAsia"/>
        </w:rPr>
        <w:t>Institut, die Universität Kassel, die</w:t>
      </w:r>
      <w:r w:rsidR="0030539D">
        <w:t xml:space="preserve"> </w:t>
      </w:r>
      <w:r w:rsidRPr="000D5762">
        <w:rPr>
          <w:rFonts w:hint="eastAsia"/>
        </w:rPr>
        <w:t xml:space="preserve">Bayerische Landesanstalt </w:t>
      </w:r>
      <w:r w:rsidR="00C14CE6" w:rsidRPr="00C14CE6">
        <w:t>für</w:t>
      </w:r>
      <w:r w:rsidRPr="000D5762">
        <w:rPr>
          <w:rFonts w:hint="eastAsia"/>
        </w:rPr>
        <w:t xml:space="preserve"> Landwirtschaft, die </w:t>
      </w:r>
      <w:proofErr w:type="gramStart"/>
      <w:r w:rsidRPr="000D5762">
        <w:rPr>
          <w:rFonts w:hint="eastAsia"/>
        </w:rPr>
        <w:t>Justu</w:t>
      </w:r>
      <w:r w:rsidR="00572A63">
        <w:t>s-</w:t>
      </w:r>
      <w:r w:rsidRPr="000D5762">
        <w:rPr>
          <w:rFonts w:hint="eastAsia"/>
        </w:rPr>
        <w:t>Liebig Universität</w:t>
      </w:r>
      <w:proofErr w:type="gramEnd"/>
      <w:r w:rsidRPr="000D5762">
        <w:rPr>
          <w:rFonts w:hint="eastAsia"/>
        </w:rPr>
        <w:t xml:space="preserve"> Gie</w:t>
      </w:r>
      <w:r w:rsidR="0030539D">
        <w:t>ss</w:t>
      </w:r>
      <w:r w:rsidRPr="000D5762">
        <w:rPr>
          <w:rFonts w:hint="eastAsia"/>
        </w:rPr>
        <w:t>en, das Leibniz</w:t>
      </w:r>
      <w:r w:rsidR="0030539D">
        <w:t>-</w:t>
      </w:r>
      <w:r w:rsidRPr="000D5762">
        <w:t>Zentrum für Agrarlandschaftsforschung, die TU München und das Zentrum für angewandte</w:t>
      </w:r>
      <w:r w:rsidR="0030539D">
        <w:t xml:space="preserve"> </w:t>
      </w:r>
      <w:r w:rsidRPr="000D5762">
        <w:t>Forschung und Technologie an der HTW Dresden beteiligt. Gefördert wurde das Projekt mit</w:t>
      </w:r>
      <w:r w:rsidR="0030539D">
        <w:t xml:space="preserve"> </w:t>
      </w:r>
      <w:r w:rsidRPr="000D5762">
        <w:t>Mitteln des Bundesministeriums für Ernährung und Landwirtschaft (BMEL)</w:t>
      </w:r>
      <w:r w:rsidR="00572A63">
        <w:t>.</w:t>
      </w:r>
    </w:p>
    <w:p w14:paraId="7D4A7186" w14:textId="7AE5BCC4" w:rsidR="00CD4B01" w:rsidRPr="00450FA1" w:rsidRDefault="00CD4B01" w:rsidP="00661678">
      <w:pPr>
        <w:pStyle w:val="FiBLmmzusatzinfo"/>
        <w:rPr>
          <w:lang w:val="it-CH"/>
        </w:rPr>
      </w:pPr>
      <w:r w:rsidRPr="00450FA1">
        <w:rPr>
          <w:lang w:val="it-CH"/>
        </w:rPr>
        <w:t>FiBL</w:t>
      </w:r>
      <w:r w:rsidR="00C01EEC">
        <w:rPr>
          <w:lang w:val="it-CH"/>
        </w:rPr>
        <w:t xml:space="preserve"> </w:t>
      </w:r>
      <w:proofErr w:type="spellStart"/>
      <w:r w:rsidRPr="00450FA1">
        <w:rPr>
          <w:lang w:val="it-CH"/>
        </w:rPr>
        <w:t>Kontakte</w:t>
      </w:r>
      <w:proofErr w:type="spellEnd"/>
    </w:p>
    <w:p w14:paraId="7D4A7187" w14:textId="4EB45CC1" w:rsidR="003C6406" w:rsidRDefault="009D0948" w:rsidP="00866E96">
      <w:pPr>
        <w:pStyle w:val="FiBLmmaufzhlungszeichen"/>
      </w:pPr>
      <w:r>
        <w:t>Jürn Sanders</w:t>
      </w:r>
      <w:r w:rsidR="003C6406">
        <w:t xml:space="preserve">, </w:t>
      </w:r>
      <w:r>
        <w:t xml:space="preserve">Vorsitzender der Geschäftsleitung </w:t>
      </w:r>
      <w:r w:rsidR="003C4537">
        <w:t>FiBL Schweiz</w:t>
      </w:r>
      <w:r w:rsidR="003C4537">
        <w:br/>
      </w:r>
      <w:r w:rsidR="0001151E">
        <w:t>Tel</w:t>
      </w:r>
      <w:r w:rsidR="00866E96">
        <w:t xml:space="preserve"> +41 62 </w:t>
      </w:r>
      <w:r w:rsidR="003E2286">
        <w:t xml:space="preserve">865 </w:t>
      </w:r>
      <w:r w:rsidR="00736015">
        <w:t>17 41</w:t>
      </w:r>
      <w:r w:rsidR="00866E96">
        <w:t xml:space="preserve">, </w:t>
      </w:r>
      <w:r w:rsidR="009F3D54">
        <w:t xml:space="preserve">E-Mail </w:t>
      </w:r>
      <w:hyperlink r:id="rId14" w:history="1">
        <w:r>
          <w:rPr>
            <w:rStyle w:val="Hyperlink"/>
          </w:rPr>
          <w:t>juern.sanders</w:t>
        </w:r>
        <w:r w:rsidR="00C01EEC" w:rsidRPr="000E1445">
          <w:rPr>
            <w:rStyle w:val="Hyperlink"/>
          </w:rPr>
          <w:t>@fibl.org</w:t>
        </w:r>
      </w:hyperlink>
    </w:p>
    <w:p w14:paraId="7D4A7188" w14:textId="61B07342" w:rsidR="00CD4B01" w:rsidRDefault="008321BC" w:rsidP="00CD4B01">
      <w:pPr>
        <w:pStyle w:val="FiBLmmaufzhlungszeichen"/>
      </w:pPr>
      <w:r>
        <w:t>Adrian Krebs</w:t>
      </w:r>
      <w:r w:rsidR="00CD4B01" w:rsidRPr="00CD4B01">
        <w:t>,</w:t>
      </w:r>
      <w:r w:rsidR="009F3D54">
        <w:t xml:space="preserve"> Mediensprecher</w:t>
      </w:r>
      <w:r w:rsidR="00CD4B01" w:rsidRPr="00CD4B01">
        <w:t xml:space="preserve"> FiBL Schweiz</w:t>
      </w:r>
      <w:r w:rsidR="00CD4B01">
        <w:br/>
      </w:r>
      <w:r w:rsidR="0001151E">
        <w:t>Tel</w:t>
      </w:r>
      <w:r w:rsidR="00CD4B01" w:rsidRPr="00CD4B01">
        <w:t xml:space="preserve"> </w:t>
      </w:r>
      <w:r w:rsidR="009F3D54" w:rsidRPr="009F3D54">
        <w:t xml:space="preserve">+41 </w:t>
      </w:r>
      <w:r>
        <w:t>79 500 88 52</w:t>
      </w:r>
      <w:r w:rsidR="00CD4B01" w:rsidRPr="00CD4B01">
        <w:t xml:space="preserve">, E-Mail </w:t>
      </w:r>
      <w:hyperlink r:id="rId15" w:history="1">
        <w:r w:rsidR="00736015" w:rsidRPr="00AF56A5">
          <w:rPr>
            <w:rStyle w:val="Hyperlink"/>
          </w:rPr>
          <w:t>adrian.krebs@fibl.org</w:t>
        </w:r>
      </w:hyperlink>
    </w:p>
    <w:p w14:paraId="7D4A718C" w14:textId="55AF66A2" w:rsidR="00195EC7" w:rsidRDefault="00195EC7" w:rsidP="00195EC7">
      <w:pPr>
        <w:pStyle w:val="FiBLmmzusatzinfo"/>
      </w:pPr>
      <w:r>
        <w:t>Links</w:t>
      </w:r>
    </w:p>
    <w:p w14:paraId="06A2027A" w14:textId="40EE928C" w:rsidR="00572A63" w:rsidRPr="00572A63" w:rsidRDefault="00572A63" w:rsidP="00572A63">
      <w:pPr>
        <w:pStyle w:val="FiBLmmaufzhlungszeichen"/>
      </w:pPr>
      <w:r w:rsidRPr="00572A63">
        <w:t>Der Podcast «Was bringt Bio wirklich? Ein Blick in über 500 Studien»</w:t>
      </w:r>
      <w:r>
        <w:t xml:space="preserve">: </w:t>
      </w:r>
      <w:hyperlink r:id="rId16" w:history="1">
        <w:r w:rsidRPr="00E70BAA">
          <w:rPr>
            <w:rStyle w:val="Hyperlink"/>
          </w:rPr>
          <w:t>https://www.fibl.org/de/infothek/meldung/podcast-was-bringt-bio-blick-in-ueber-500-studien</w:t>
        </w:r>
      </w:hyperlink>
      <w:r>
        <w:t xml:space="preserve"> </w:t>
      </w:r>
    </w:p>
    <w:p w14:paraId="55F80E45" w14:textId="378C493A" w:rsidR="00B35BD3" w:rsidRPr="00572A63" w:rsidRDefault="006875A1" w:rsidP="00B35BD3">
      <w:pPr>
        <w:pStyle w:val="FiBLmmaufzhlungszeichen"/>
        <w:rPr>
          <w:lang w:val="en-US"/>
        </w:rPr>
      </w:pPr>
      <w:r>
        <w:rPr>
          <w:lang w:val="en-US"/>
        </w:rPr>
        <w:t xml:space="preserve">Die </w:t>
      </w:r>
      <w:proofErr w:type="spellStart"/>
      <w:r>
        <w:rPr>
          <w:lang w:val="en-US"/>
        </w:rPr>
        <w:t>Studie</w:t>
      </w:r>
      <w:proofErr w:type="spellEnd"/>
      <w:r>
        <w:rPr>
          <w:lang w:val="en-US"/>
        </w:rPr>
        <w:t xml:space="preserve"> </w:t>
      </w:r>
      <w:r w:rsidR="00B35BD3" w:rsidRPr="00572A63">
        <w:rPr>
          <w:lang w:val="en-US"/>
        </w:rPr>
        <w:t xml:space="preserve">«Benefits of organic agriculture for environment and animal welfare in temperate climates» </w:t>
      </w:r>
      <w:r w:rsidR="002D2FCC">
        <w:rPr>
          <w:lang w:val="en-US"/>
        </w:rPr>
        <w:t xml:space="preserve">in der </w:t>
      </w:r>
      <w:proofErr w:type="spellStart"/>
      <w:r w:rsidR="002D2FCC">
        <w:rPr>
          <w:lang w:val="en-US"/>
        </w:rPr>
        <w:t>Fachzeitschrift</w:t>
      </w:r>
      <w:proofErr w:type="spellEnd"/>
      <w:r w:rsidR="002D2FCC">
        <w:rPr>
          <w:lang w:val="en-US"/>
        </w:rPr>
        <w:t xml:space="preserve"> </w:t>
      </w:r>
      <w:r w:rsidR="002D2FCC" w:rsidRPr="002D2FCC">
        <w:rPr>
          <w:lang w:val="en-US"/>
        </w:rPr>
        <w:t>«Organic Agriculture»</w:t>
      </w:r>
      <w:r w:rsidR="002D2FCC">
        <w:rPr>
          <w:lang w:val="en-US"/>
        </w:rPr>
        <w:t xml:space="preserve"> </w:t>
      </w:r>
      <w:r w:rsidR="00B35BD3" w:rsidRPr="00572A63">
        <w:rPr>
          <w:lang w:val="en-US"/>
        </w:rPr>
        <w:t xml:space="preserve">online: </w:t>
      </w:r>
      <w:r w:rsidR="00DC71DC">
        <w:fldChar w:fldCharType="begin"/>
      </w:r>
      <w:r w:rsidR="00DC71DC" w:rsidRPr="00C50A54">
        <w:rPr>
          <w:lang w:val="en-GB"/>
        </w:rPr>
        <w:instrText xml:space="preserve"> HYPERLINK "https://rdcu.be/ec0mu" </w:instrText>
      </w:r>
      <w:r w:rsidR="00DC71DC">
        <w:fldChar w:fldCharType="separate"/>
      </w:r>
      <w:r w:rsidR="00B35BD3" w:rsidRPr="00572A63">
        <w:rPr>
          <w:rStyle w:val="Hyperlink"/>
          <w:lang w:val="en-US"/>
        </w:rPr>
        <w:t>https://rdcu.be/ec0mu</w:t>
      </w:r>
      <w:r w:rsidR="00DC71DC">
        <w:rPr>
          <w:rStyle w:val="Hyperlink"/>
          <w:lang w:val="en-US"/>
        </w:rPr>
        <w:fldChar w:fldCharType="end"/>
      </w:r>
    </w:p>
    <w:p w14:paraId="2B5CB29C" w14:textId="5AA2EF2C" w:rsidR="00B35BD3" w:rsidRPr="00EA113F" w:rsidRDefault="00EA113F" w:rsidP="00572A63">
      <w:pPr>
        <w:pStyle w:val="FiBLmmaufzhlungszeichen"/>
      </w:pPr>
      <w:r w:rsidRPr="00EA113F">
        <w:t>Die Zusammenfassung:</w:t>
      </w:r>
      <w:r>
        <w:t xml:space="preserve"> </w:t>
      </w:r>
      <w:r w:rsidRPr="00EA113F">
        <w:t>Auf den Punkt gebracht – gesellschaftliche Leistungen des ökologischen Landbaus</w:t>
      </w:r>
      <w:r>
        <w:t xml:space="preserve">: </w:t>
      </w:r>
      <w:hyperlink r:id="rId17" w:history="1">
        <w:r w:rsidR="00537EED" w:rsidRPr="00AF56A5">
          <w:rPr>
            <w:rStyle w:val="Hyperlink"/>
          </w:rPr>
          <w:t>https://orgprints.org/id/eprint/51949/1/sanders-etal-2023-UGOE_Schlussbericht-III.pdf</w:t>
        </w:r>
      </w:hyperlink>
      <w:r w:rsidR="00537EED">
        <w:t xml:space="preserve"> </w:t>
      </w:r>
    </w:p>
    <w:p w14:paraId="310010BC" w14:textId="1C337523" w:rsidR="00572A63" w:rsidRPr="00572A63" w:rsidRDefault="00572A63" w:rsidP="00572A63">
      <w:pPr>
        <w:pStyle w:val="FiBLmmaufzhlungszeichen"/>
      </w:pPr>
      <w:r>
        <w:t xml:space="preserve">Der </w:t>
      </w:r>
      <w:r w:rsidR="00EA113F">
        <w:t xml:space="preserve">Projektbericht </w:t>
      </w:r>
      <w:r>
        <w:t>zur Studie:</w:t>
      </w:r>
      <w:r w:rsidR="0014617F">
        <w:t xml:space="preserve"> </w:t>
      </w:r>
      <w:hyperlink r:id="rId18" w:history="1">
        <w:r w:rsidR="0014617F" w:rsidRPr="00AF56A5">
          <w:rPr>
            <w:rStyle w:val="Hyperlink"/>
          </w:rPr>
          <w:t>https://www.thuenen.de/media/publikationen/thuenen-report/Thuenen_Report_65.pdf</w:t>
        </w:r>
      </w:hyperlink>
      <w:r>
        <w:t xml:space="preserve"> </w:t>
      </w:r>
    </w:p>
    <w:p w14:paraId="7D4A718E" w14:textId="77777777" w:rsidR="000A0CF7" w:rsidRPr="0015762C" w:rsidRDefault="000A0CF7" w:rsidP="00230924">
      <w:pPr>
        <w:pStyle w:val="FiBLmmzusatzinfo"/>
      </w:pPr>
      <w:r w:rsidRPr="0015762C">
        <w:t>Bibliographie</w:t>
      </w:r>
    </w:p>
    <w:p w14:paraId="7D4A718F" w14:textId="77C3EB15" w:rsidR="00AA295A" w:rsidRPr="00450FA1" w:rsidRDefault="00EA1431" w:rsidP="00EA1431">
      <w:pPr>
        <w:pStyle w:val="FiBLmmliteratur"/>
        <w:rPr>
          <w:lang w:val="en-GB"/>
        </w:rPr>
      </w:pPr>
      <w:r w:rsidRPr="0015762C">
        <w:t xml:space="preserve">Sanders J., Brinkmann J., </w:t>
      </w:r>
      <w:proofErr w:type="spellStart"/>
      <w:r w:rsidRPr="0015762C">
        <w:t>Chmelikova</w:t>
      </w:r>
      <w:proofErr w:type="spellEnd"/>
      <w:r w:rsidRPr="0015762C">
        <w:t xml:space="preserve"> L</w:t>
      </w:r>
      <w:r w:rsidR="006B4F5F">
        <w:t>.,</w:t>
      </w:r>
      <w:r w:rsidRPr="0015762C">
        <w:t xml:space="preserve"> Ebertseder F., Freibauer A., Gottwald F., Haub A.,</w:t>
      </w:r>
      <w:r w:rsidR="002E20DD">
        <w:t xml:space="preserve"> </w:t>
      </w:r>
      <w:r w:rsidRPr="0015762C">
        <w:t>Hauschild M., Hoppe J., Hülsbergen K.</w:t>
      </w:r>
      <w:r w:rsidR="0067160C">
        <w:t>,</w:t>
      </w:r>
      <w:r w:rsidRPr="0015762C">
        <w:t xml:space="preserve"> Jung R., Kusche D., Levin K.</w:t>
      </w:r>
      <w:r w:rsidR="0067160C">
        <w:t>,</w:t>
      </w:r>
      <w:r w:rsidRPr="0015762C">
        <w:t xml:space="preserve"> March S., Schmidtke K., Stein‑</w:t>
      </w:r>
      <w:proofErr w:type="spellStart"/>
      <w:r w:rsidRPr="0015762C">
        <w:t>Bachinger</w:t>
      </w:r>
      <w:proofErr w:type="spellEnd"/>
      <w:r w:rsidRPr="0015762C">
        <w:t xml:space="preserve"> K., Treu H., </w:t>
      </w:r>
      <w:proofErr w:type="spellStart"/>
      <w:r w:rsidRPr="0015762C">
        <w:t>Weckenbrock</w:t>
      </w:r>
      <w:proofErr w:type="spellEnd"/>
      <w:r w:rsidRPr="0015762C">
        <w:t xml:space="preserve"> P., Wiesinger K., Gattinger A., Hess J. (2025): Benefits </w:t>
      </w:r>
      <w:proofErr w:type="spellStart"/>
      <w:r w:rsidRPr="0015762C">
        <w:t>of</w:t>
      </w:r>
      <w:proofErr w:type="spellEnd"/>
      <w:r w:rsidRPr="0015762C">
        <w:t xml:space="preserve"> </w:t>
      </w:r>
      <w:proofErr w:type="spellStart"/>
      <w:r w:rsidRPr="0015762C">
        <w:t>organic</w:t>
      </w:r>
      <w:proofErr w:type="spellEnd"/>
      <w:r w:rsidRPr="0015762C">
        <w:t xml:space="preserve"> </w:t>
      </w:r>
      <w:proofErr w:type="spellStart"/>
      <w:r w:rsidRPr="0015762C">
        <w:t>agriculture</w:t>
      </w:r>
      <w:proofErr w:type="spellEnd"/>
      <w:r w:rsidRPr="0015762C">
        <w:t xml:space="preserve"> </w:t>
      </w:r>
      <w:proofErr w:type="spellStart"/>
      <w:r w:rsidRPr="0015762C">
        <w:t>for</w:t>
      </w:r>
      <w:proofErr w:type="spellEnd"/>
      <w:r w:rsidRPr="0015762C">
        <w:t xml:space="preserve"> </w:t>
      </w:r>
      <w:proofErr w:type="spellStart"/>
      <w:r w:rsidRPr="0015762C">
        <w:t>environment</w:t>
      </w:r>
      <w:proofErr w:type="spellEnd"/>
      <w:r w:rsidRPr="0015762C">
        <w:t xml:space="preserve"> and </w:t>
      </w:r>
      <w:proofErr w:type="spellStart"/>
      <w:r w:rsidRPr="0015762C">
        <w:t>animal</w:t>
      </w:r>
      <w:proofErr w:type="spellEnd"/>
      <w:r w:rsidR="00572A63" w:rsidRPr="0015762C">
        <w:t xml:space="preserve"> </w:t>
      </w:r>
      <w:proofErr w:type="spellStart"/>
      <w:r w:rsidRPr="0015762C">
        <w:t>welfare</w:t>
      </w:r>
      <w:proofErr w:type="spellEnd"/>
      <w:r w:rsidRPr="0015762C">
        <w:t xml:space="preserve"> in temperate </w:t>
      </w:r>
      <w:proofErr w:type="spellStart"/>
      <w:r w:rsidRPr="0015762C">
        <w:t>climates</w:t>
      </w:r>
      <w:proofErr w:type="spellEnd"/>
      <w:r w:rsidRPr="0015762C">
        <w:t xml:space="preserve">. </w:t>
      </w:r>
      <w:r>
        <w:rPr>
          <w:lang w:val="en-US"/>
        </w:rPr>
        <w:t>Organic Agriculture</w:t>
      </w:r>
      <w:r w:rsidR="00572A63">
        <w:rPr>
          <w:lang w:val="en-US"/>
        </w:rPr>
        <w:t xml:space="preserve">, published March 2025, open access. </w:t>
      </w:r>
      <w:r w:rsidRPr="00EA1431">
        <w:rPr>
          <w:lang w:val="en-GB"/>
        </w:rPr>
        <w:t>Received: 25 September 2024 / Accepted: 30 January 2025</w:t>
      </w:r>
    </w:p>
    <w:p w14:paraId="7D4A7190" w14:textId="77777777" w:rsidR="002A7256" w:rsidRDefault="002A7256" w:rsidP="002A7256">
      <w:pPr>
        <w:pStyle w:val="FiBLmmzusatzinfo"/>
      </w:pPr>
      <w:r>
        <w:t>Diese Medienmitteilung im Internet</w:t>
      </w:r>
    </w:p>
    <w:p w14:paraId="7D4A7191" w14:textId="340DB974" w:rsidR="007C691F" w:rsidRDefault="007C691F" w:rsidP="007C691F">
      <w:pPr>
        <w:pStyle w:val="FiBLmmstandard"/>
      </w:pPr>
      <w:r>
        <w:t xml:space="preserve">Sie finden diese Medienmitteilung einschliesslich Bilder im Internet unter </w:t>
      </w:r>
      <w:hyperlink r:id="rId19" w:history="1">
        <w:r w:rsidR="00B83FDA">
          <w:rPr>
            <w:rStyle w:val="Hyperlink"/>
          </w:rPr>
          <w:t>www.fibl.org/de/infothek/medien.html</w:t>
        </w:r>
      </w:hyperlink>
      <w:r w:rsidR="004B6C83">
        <w:t>.</w:t>
      </w:r>
    </w:p>
    <w:p w14:paraId="7D4A7192" w14:textId="77777777" w:rsidR="002C0814" w:rsidRPr="00A04F66" w:rsidRDefault="002C0814" w:rsidP="00A17E51">
      <w:pPr>
        <w:pStyle w:val="FiBLmmerluterungtitel"/>
      </w:pPr>
      <w:r w:rsidRPr="00A17E51">
        <w:t>Über</w:t>
      </w:r>
      <w:r w:rsidRPr="00A04F66">
        <w:t xml:space="preserve"> das FiBL</w:t>
      </w:r>
    </w:p>
    <w:p w14:paraId="7D4A7195" w14:textId="24338A36" w:rsidR="004730C6" w:rsidRPr="00450FA1" w:rsidRDefault="00450FA1" w:rsidP="00450FA1">
      <w:pPr>
        <w:pStyle w:val="FiBLmmerluterung"/>
      </w:pPr>
      <w:r w:rsidRPr="00DB7736">
        <w:t>Das Forschungsinstitut für biologischen Landbau FiBL ist eine der weltweit führenden Forschungseinrichtungen im Bereich Biolandwirtschaft. Die Stärken des FiBL sind interdisziplinäre Forschung, gemeinsame Innovationen mit Landwirt*innen und der Lebensmittelbranche sowie ein rascher Wissenstransfer. Der FiBL Gruppe gehören derzeit F</w:t>
      </w:r>
      <w:r w:rsidR="005B07DB">
        <w:t>i</w:t>
      </w:r>
      <w:r w:rsidRPr="00DB7736">
        <w:t xml:space="preserve">BL Schweiz (gegründet 1973), FiBL Deutschland (2001), FiBL Österreich (2004), </w:t>
      </w:r>
      <w:r w:rsidR="005B07DB">
        <w:t>Ö</w:t>
      </w:r>
      <w:r w:rsidRPr="00DB7736">
        <w:t>MK</w:t>
      </w:r>
      <w:r w:rsidR="005B07DB">
        <w:t>i</w:t>
      </w:r>
      <w:r w:rsidRPr="00DB7736">
        <w:t xml:space="preserve"> (ungarisches Forschungsinstitut für biologischen Landbau, 2011), FiBL Frankreich (2017) und das gemeinsam von den fünf nationalen Instituten getragene FiBL Europe (2017) an. An den verschiedenen Standorten sind </w:t>
      </w:r>
      <w:r w:rsidR="004E7DB7">
        <w:t>über</w:t>
      </w:r>
      <w:r w:rsidRPr="00DB7736">
        <w:t xml:space="preserve"> </w:t>
      </w:r>
      <w:r w:rsidR="1B799F18" w:rsidRPr="00DB7736">
        <w:t>40</w:t>
      </w:r>
      <w:r w:rsidR="009F3D54">
        <w:t>0</w:t>
      </w:r>
      <w:r w:rsidRPr="00DB7736">
        <w:t xml:space="preserve"> Mitarbeitende tätig. </w:t>
      </w:r>
      <w:hyperlink r:id="rId20" w:history="1">
        <w:r w:rsidR="005B07DB">
          <w:rPr>
            <w:rStyle w:val="Hyperlink"/>
          </w:rPr>
          <w:t>www.fibl.org</w:t>
        </w:r>
      </w:hyperlink>
    </w:p>
    <w:sectPr w:rsidR="004730C6" w:rsidRPr="00450FA1" w:rsidSect="001B31D5">
      <w:footerReference w:type="default" r:id="rId21"/>
      <w:type w:val="continuous"/>
      <w:pgSz w:w="11906" w:h="16838"/>
      <w:pgMar w:top="2268" w:right="1701" w:bottom="1701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01ACE" w14:textId="77777777" w:rsidR="00DC71DC" w:rsidRDefault="00DC71DC" w:rsidP="00F53AA9">
      <w:pPr>
        <w:spacing w:after="0" w:line="240" w:lineRule="auto"/>
      </w:pPr>
      <w:r>
        <w:separator/>
      </w:r>
    </w:p>
  </w:endnote>
  <w:endnote w:type="continuationSeparator" w:id="0">
    <w:p w14:paraId="2EC7D1CB" w14:textId="77777777" w:rsidR="00DC71DC" w:rsidRDefault="00DC71DC" w:rsidP="00F5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6"/>
      <w:gridCol w:w="407"/>
    </w:tblGrid>
    <w:tr w:rsidR="00F73377" w:rsidRPr="008A6B50" w14:paraId="7D4A71A4" w14:textId="77777777" w:rsidTr="00C16594">
      <w:trPr>
        <w:trHeight w:val="508"/>
      </w:trPr>
      <w:tc>
        <w:tcPr>
          <w:tcW w:w="7656" w:type="dxa"/>
        </w:tcPr>
        <w:p w14:paraId="7D4A71A1" w14:textId="77777777" w:rsidR="008A6B50" w:rsidRDefault="00F73377" w:rsidP="00DA14CE">
          <w:pPr>
            <w:pStyle w:val="FiBLmmfusszeile"/>
          </w:pPr>
          <w:r w:rsidRPr="008A6B50">
            <w:t xml:space="preserve">Forschungsinstitut für biologischen Landbau FiBL | Ackerstrasse 113 | Postfach 219 </w:t>
          </w:r>
        </w:p>
        <w:p w14:paraId="7D4A71A2" w14:textId="77777777" w:rsidR="00F73377" w:rsidRPr="008A6B50" w:rsidRDefault="00F73377" w:rsidP="0001151E">
          <w:pPr>
            <w:pStyle w:val="FiBLmmfusszeile"/>
          </w:pPr>
          <w:r w:rsidRPr="008A6B50">
            <w:t>5070 Frick | Schweiz</w:t>
          </w:r>
          <w:r w:rsidR="001B2B79" w:rsidRPr="008A6B50">
            <w:t xml:space="preserve"> | </w:t>
          </w:r>
          <w:r w:rsidR="0001151E">
            <w:t>Tel</w:t>
          </w:r>
          <w:r w:rsidR="001B2B79">
            <w:t xml:space="preserve"> +41 </w:t>
          </w:r>
          <w:r w:rsidRPr="008A6B50">
            <w:t xml:space="preserve">62 865 72 72 | </w:t>
          </w:r>
          <w:hyperlink r:id="rId1">
            <w:r w:rsidRPr="008A6B50">
              <w:t xml:space="preserve">info.suisse@fibl.org </w:t>
            </w:r>
          </w:hyperlink>
          <w:r w:rsidRPr="008A6B50">
            <w:t xml:space="preserve">| </w:t>
          </w:r>
          <w:hyperlink r:id="rId2">
            <w:r w:rsidRPr="008A6B50">
              <w:t>www.fibl.org</w:t>
            </w:r>
          </w:hyperlink>
        </w:p>
      </w:tc>
      <w:tc>
        <w:tcPr>
          <w:tcW w:w="407" w:type="dxa"/>
        </w:tcPr>
        <w:p w14:paraId="7D4A71A3" w14:textId="77777777" w:rsidR="00F73377" w:rsidRPr="008A6B50" w:rsidRDefault="00F73377" w:rsidP="00DA14CE">
          <w:pPr>
            <w:pStyle w:val="FiBLmmseitennummer"/>
          </w:pPr>
        </w:p>
      </w:tc>
    </w:tr>
  </w:tbl>
  <w:p w14:paraId="7D4A71A5" w14:textId="77777777" w:rsidR="00D142E7" w:rsidRPr="00F73377" w:rsidRDefault="00D142E7" w:rsidP="00F733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73"/>
      <w:gridCol w:w="131"/>
    </w:tblGrid>
    <w:tr w:rsidR="00DA14CE" w:rsidRPr="008A6B50" w14:paraId="7D4A71AA" w14:textId="77777777" w:rsidTr="0053530C">
      <w:trPr>
        <w:trHeight w:val="508"/>
      </w:trPr>
      <w:tc>
        <w:tcPr>
          <w:tcW w:w="4923" w:type="pct"/>
        </w:tcPr>
        <w:p w14:paraId="7D4A71A8" w14:textId="17B808C9" w:rsidR="00DA14CE" w:rsidRPr="001926E1" w:rsidRDefault="00DA14CE" w:rsidP="001926E1">
          <w:pPr>
            <w:pStyle w:val="FiBLmmfusszeile"/>
          </w:pPr>
          <w:r>
            <w:t xml:space="preserve">Medienmitteilung vom </w:t>
          </w:r>
          <w:r w:rsidR="00B32619" w:rsidRPr="00B32619">
            <w:t>0</w:t>
          </w:r>
          <w:r w:rsidR="00D5705A">
            <w:t>8</w:t>
          </w:r>
          <w:r w:rsidR="00B32619" w:rsidRPr="00B32619">
            <w:t>.04.2025</w:t>
          </w:r>
          <w:r w:rsidR="00B32619">
            <w:t xml:space="preserve"> </w:t>
          </w:r>
        </w:p>
      </w:tc>
      <w:tc>
        <w:tcPr>
          <w:tcW w:w="77" w:type="pct"/>
        </w:tcPr>
        <w:p w14:paraId="7D4A71A9" w14:textId="77777777" w:rsidR="00DA14CE" w:rsidRPr="00DA14CE" w:rsidRDefault="00DA14CE" w:rsidP="00DA14CE">
          <w:pPr>
            <w:pStyle w:val="FiBLmmseitennummer"/>
          </w:pPr>
          <w:r w:rsidRPr="00DA14CE">
            <w:fldChar w:fldCharType="begin"/>
          </w:r>
          <w:r w:rsidRPr="00DA14CE">
            <w:instrText xml:space="preserve"> PAGE   \* MERGEFORMAT </w:instrText>
          </w:r>
          <w:r w:rsidRPr="00DA14CE">
            <w:fldChar w:fldCharType="separate"/>
          </w:r>
          <w:r w:rsidR="009B52A0">
            <w:rPr>
              <w:noProof/>
            </w:rPr>
            <w:t>2</w:t>
          </w:r>
          <w:r w:rsidRPr="00DA14CE">
            <w:fldChar w:fldCharType="end"/>
          </w:r>
        </w:p>
      </w:tc>
    </w:tr>
  </w:tbl>
  <w:p w14:paraId="7D4A71AB" w14:textId="77777777" w:rsidR="00DA14CE" w:rsidRPr="00F73377" w:rsidRDefault="00DA14CE" w:rsidP="00F733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F1B47" w14:textId="77777777" w:rsidR="00DC71DC" w:rsidRDefault="00DC71DC" w:rsidP="00F53AA9">
      <w:pPr>
        <w:spacing w:after="0" w:line="240" w:lineRule="auto"/>
      </w:pPr>
      <w:r>
        <w:separator/>
      </w:r>
    </w:p>
  </w:footnote>
  <w:footnote w:type="continuationSeparator" w:id="0">
    <w:p w14:paraId="7DFCAA2D" w14:textId="77777777" w:rsidR="00DC71DC" w:rsidRDefault="00DC71DC" w:rsidP="00F5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7995" w:type="dxa"/>
      <w:tblInd w:w="-4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6"/>
      <w:gridCol w:w="4111"/>
      <w:gridCol w:w="2268"/>
    </w:tblGrid>
    <w:tr w:rsidR="007666E3" w14:paraId="7D4A719E" w14:textId="77777777" w:rsidTr="00C16594">
      <w:trPr>
        <w:trHeight w:val="599"/>
      </w:trPr>
      <w:tc>
        <w:tcPr>
          <w:tcW w:w="1616" w:type="dxa"/>
        </w:tcPr>
        <w:p w14:paraId="7D4A719B" w14:textId="77777777" w:rsidR="007666E3" w:rsidRPr="00C725B7" w:rsidRDefault="007666E3" w:rsidP="007666E3">
          <w:pPr>
            <w:pStyle w:val="FiBLmmheader"/>
          </w:pPr>
          <w:r>
            <w:rPr>
              <w:noProof/>
            </w:rPr>
            <w:drawing>
              <wp:inline distT="0" distB="0" distL="0" distR="0" wp14:anchorId="7D4A71AC" wp14:editId="7D4A71AD">
                <wp:extent cx="861695" cy="360680"/>
                <wp:effectExtent l="0" t="0" r="0" b="127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FiBL_Switzerlan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695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4111" w:type="dxa"/>
        </w:tcPr>
        <w:p w14:paraId="7D4A719C" w14:textId="77777777" w:rsidR="007666E3" w:rsidRDefault="007666E3" w:rsidP="007666E3">
          <w:pPr>
            <w:tabs>
              <w:tab w:val="right" w:pos="7653"/>
            </w:tabs>
          </w:pPr>
        </w:p>
      </w:tc>
      <w:tc>
        <w:tcPr>
          <w:tcW w:w="2268" w:type="dxa"/>
        </w:tcPr>
        <w:p w14:paraId="7D4A719D" w14:textId="77777777" w:rsidR="007666E3" w:rsidRDefault="007666E3" w:rsidP="00A033E7">
          <w:pPr>
            <w:tabs>
              <w:tab w:val="right" w:pos="7653"/>
            </w:tabs>
            <w:jc w:val="right"/>
          </w:pPr>
        </w:p>
      </w:tc>
    </w:tr>
  </w:tbl>
  <w:p w14:paraId="7D4A719F" w14:textId="77777777" w:rsidR="00540DAE" w:rsidRDefault="00540DAE" w:rsidP="00E71FBF">
    <w:pPr>
      <w:tabs>
        <w:tab w:val="right" w:pos="76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02200"/>
    <w:multiLevelType w:val="hybridMultilevel"/>
    <w:tmpl w:val="1292E0A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B616B"/>
    <w:multiLevelType w:val="hybridMultilevel"/>
    <w:tmpl w:val="17BA7BA0"/>
    <w:lvl w:ilvl="0" w:tplc="99942C50">
      <w:start w:val="1"/>
      <w:numFmt w:val="bullet"/>
      <w:pStyle w:val="FiBLmmerluterungaufzhlung"/>
      <w:lvlText w:val=""/>
      <w:lvlJc w:val="left"/>
      <w:pPr>
        <w:ind w:left="833" w:hanging="360"/>
      </w:pPr>
      <w:rPr>
        <w:rFonts w:ascii="Symbol" w:hAnsi="Symbol" w:hint="default"/>
        <w:u w:color="2F6C86"/>
      </w:rPr>
    </w:lvl>
    <w:lvl w:ilvl="1" w:tplc="08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06535A6"/>
    <w:multiLevelType w:val="hybridMultilevel"/>
    <w:tmpl w:val="BF4E82C6"/>
    <w:lvl w:ilvl="0" w:tplc="EC5414F8">
      <w:start w:val="1"/>
      <w:numFmt w:val="decimal"/>
      <w:pStyle w:val="FiBLmmnummerierung"/>
      <w:lvlText w:val="%1."/>
      <w:lvlJc w:val="left"/>
      <w:pPr>
        <w:ind w:left="720" w:hanging="360"/>
      </w:pPr>
      <w:rPr>
        <w:rFonts w:hint="default"/>
        <w:b/>
        <w:i w:val="0"/>
        <w:color w:val="2F6C8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24358"/>
    <w:multiLevelType w:val="hybridMultilevel"/>
    <w:tmpl w:val="CD6C32E8"/>
    <w:lvl w:ilvl="0" w:tplc="BAF26DE8">
      <w:start w:val="1"/>
      <w:numFmt w:val="bullet"/>
      <w:pStyle w:val="FiBLmmaufzhlungszeichen"/>
      <w:lvlText w:val=""/>
      <w:lvlJc w:val="left"/>
      <w:pPr>
        <w:ind w:left="717" w:hanging="360"/>
      </w:pPr>
      <w:rPr>
        <w:rFonts w:ascii="Symbol" w:hAnsi="Symbol" w:hint="default"/>
        <w:color w:val="2F6C86"/>
        <w:em w:val="none"/>
      </w:rPr>
    </w:lvl>
    <w:lvl w:ilvl="1" w:tplc="401CF8A6">
      <w:start w:val="1"/>
      <w:numFmt w:val="bullet"/>
      <w:pStyle w:val="FiBLmmaufzhlungszeichen2"/>
      <w:lvlText w:val="-"/>
      <w:lvlJc w:val="left"/>
      <w:pPr>
        <w:ind w:left="1440" w:hanging="360"/>
      </w:pPr>
      <w:rPr>
        <w:rFonts w:ascii="Courier New" w:hAnsi="Courier New" w:hint="default"/>
        <w:b/>
        <w:i w:val="0"/>
        <w:color w:val="2F6C86"/>
      </w:rPr>
    </w:lvl>
    <w:lvl w:ilvl="2" w:tplc="459038C8">
      <w:start w:val="1"/>
      <w:numFmt w:val="bullet"/>
      <w:pStyle w:val="FiBLmmaufzhlungszeichen3"/>
      <w:lvlText w:val=""/>
      <w:lvlJc w:val="left"/>
      <w:pPr>
        <w:ind w:left="2160" w:hanging="360"/>
      </w:pPr>
      <w:rPr>
        <w:rFonts w:ascii="Symbol" w:hAnsi="Symbol" w:hint="default"/>
        <w:color w:val="2F6C8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8AD"/>
    <w:rsid w:val="0001151E"/>
    <w:rsid w:val="00075B35"/>
    <w:rsid w:val="0008157D"/>
    <w:rsid w:val="00097E74"/>
    <w:rsid w:val="000A0CF7"/>
    <w:rsid w:val="000A3B13"/>
    <w:rsid w:val="000B5156"/>
    <w:rsid w:val="000C75D0"/>
    <w:rsid w:val="000D5714"/>
    <w:rsid w:val="000D5762"/>
    <w:rsid w:val="000D7A27"/>
    <w:rsid w:val="000F2BE9"/>
    <w:rsid w:val="001050BE"/>
    <w:rsid w:val="00107221"/>
    <w:rsid w:val="001354F8"/>
    <w:rsid w:val="001366DE"/>
    <w:rsid w:val="0014617F"/>
    <w:rsid w:val="00146772"/>
    <w:rsid w:val="0015762C"/>
    <w:rsid w:val="001646F7"/>
    <w:rsid w:val="00164C87"/>
    <w:rsid w:val="0017068A"/>
    <w:rsid w:val="0018434A"/>
    <w:rsid w:val="001926E1"/>
    <w:rsid w:val="00195EC7"/>
    <w:rsid w:val="001A2005"/>
    <w:rsid w:val="001B2B79"/>
    <w:rsid w:val="001B31D5"/>
    <w:rsid w:val="001B3DB5"/>
    <w:rsid w:val="001E1C11"/>
    <w:rsid w:val="001F27C8"/>
    <w:rsid w:val="001F529F"/>
    <w:rsid w:val="00211862"/>
    <w:rsid w:val="002203DD"/>
    <w:rsid w:val="0022639B"/>
    <w:rsid w:val="00230924"/>
    <w:rsid w:val="00274F0C"/>
    <w:rsid w:val="00280674"/>
    <w:rsid w:val="002925F1"/>
    <w:rsid w:val="002A7256"/>
    <w:rsid w:val="002B1D53"/>
    <w:rsid w:val="002C0814"/>
    <w:rsid w:val="002C3506"/>
    <w:rsid w:val="002C4031"/>
    <w:rsid w:val="002D2FCC"/>
    <w:rsid w:val="002D757B"/>
    <w:rsid w:val="002D7D78"/>
    <w:rsid w:val="002E20DD"/>
    <w:rsid w:val="002E414D"/>
    <w:rsid w:val="002F586A"/>
    <w:rsid w:val="0030539D"/>
    <w:rsid w:val="003150C5"/>
    <w:rsid w:val="003847CC"/>
    <w:rsid w:val="003A4191"/>
    <w:rsid w:val="003C3779"/>
    <w:rsid w:val="003C4537"/>
    <w:rsid w:val="003C6406"/>
    <w:rsid w:val="003D1138"/>
    <w:rsid w:val="003E2286"/>
    <w:rsid w:val="003E5C36"/>
    <w:rsid w:val="0041671F"/>
    <w:rsid w:val="00423C89"/>
    <w:rsid w:val="00425269"/>
    <w:rsid w:val="00425CDF"/>
    <w:rsid w:val="0044286A"/>
    <w:rsid w:val="004469EA"/>
    <w:rsid w:val="00446B90"/>
    <w:rsid w:val="00450F2F"/>
    <w:rsid w:val="00450FA1"/>
    <w:rsid w:val="00453BD9"/>
    <w:rsid w:val="004570C7"/>
    <w:rsid w:val="00465871"/>
    <w:rsid w:val="0046602F"/>
    <w:rsid w:val="004718EA"/>
    <w:rsid w:val="004730C6"/>
    <w:rsid w:val="004762FE"/>
    <w:rsid w:val="004807B1"/>
    <w:rsid w:val="0048624A"/>
    <w:rsid w:val="004B6C83"/>
    <w:rsid w:val="004C4067"/>
    <w:rsid w:val="004D0109"/>
    <w:rsid w:val="004D6428"/>
    <w:rsid w:val="004E7DB7"/>
    <w:rsid w:val="004F613F"/>
    <w:rsid w:val="0053530C"/>
    <w:rsid w:val="005367CF"/>
    <w:rsid w:val="00537EED"/>
    <w:rsid w:val="00540B0E"/>
    <w:rsid w:val="00540DAE"/>
    <w:rsid w:val="00555C7D"/>
    <w:rsid w:val="00571E3B"/>
    <w:rsid w:val="00572A63"/>
    <w:rsid w:val="00580C94"/>
    <w:rsid w:val="005867AD"/>
    <w:rsid w:val="005938C8"/>
    <w:rsid w:val="0059401F"/>
    <w:rsid w:val="005B07DB"/>
    <w:rsid w:val="005D0989"/>
    <w:rsid w:val="005F1359"/>
    <w:rsid w:val="005F5A7E"/>
    <w:rsid w:val="006071F7"/>
    <w:rsid w:val="006410F4"/>
    <w:rsid w:val="00650F0C"/>
    <w:rsid w:val="00661678"/>
    <w:rsid w:val="0066529D"/>
    <w:rsid w:val="0067160C"/>
    <w:rsid w:val="00681E9E"/>
    <w:rsid w:val="006875A1"/>
    <w:rsid w:val="006B4F5F"/>
    <w:rsid w:val="006D0FF6"/>
    <w:rsid w:val="006D4D11"/>
    <w:rsid w:val="006E612A"/>
    <w:rsid w:val="00712776"/>
    <w:rsid w:val="00727486"/>
    <w:rsid w:val="00736015"/>
    <w:rsid w:val="00736F11"/>
    <w:rsid w:val="00746184"/>
    <w:rsid w:val="00754508"/>
    <w:rsid w:val="00764E69"/>
    <w:rsid w:val="00765BB4"/>
    <w:rsid w:val="007666E3"/>
    <w:rsid w:val="00783BE6"/>
    <w:rsid w:val="0078787E"/>
    <w:rsid w:val="00793238"/>
    <w:rsid w:val="007A051D"/>
    <w:rsid w:val="007A0D20"/>
    <w:rsid w:val="007C6110"/>
    <w:rsid w:val="007C691F"/>
    <w:rsid w:val="007C7E19"/>
    <w:rsid w:val="007F2027"/>
    <w:rsid w:val="00817B94"/>
    <w:rsid w:val="00823157"/>
    <w:rsid w:val="008321BC"/>
    <w:rsid w:val="008417D3"/>
    <w:rsid w:val="00861053"/>
    <w:rsid w:val="00861AC8"/>
    <w:rsid w:val="00866E96"/>
    <w:rsid w:val="00870F62"/>
    <w:rsid w:val="00872371"/>
    <w:rsid w:val="008A5E8C"/>
    <w:rsid w:val="008A6B50"/>
    <w:rsid w:val="008D48AD"/>
    <w:rsid w:val="009109C1"/>
    <w:rsid w:val="00912F05"/>
    <w:rsid w:val="0095105C"/>
    <w:rsid w:val="009669B5"/>
    <w:rsid w:val="00981742"/>
    <w:rsid w:val="00982A03"/>
    <w:rsid w:val="00986F71"/>
    <w:rsid w:val="009B52A0"/>
    <w:rsid w:val="009C0B90"/>
    <w:rsid w:val="009C0D76"/>
    <w:rsid w:val="009C0F61"/>
    <w:rsid w:val="009C7E54"/>
    <w:rsid w:val="009D0948"/>
    <w:rsid w:val="009F3D54"/>
    <w:rsid w:val="00A033E7"/>
    <w:rsid w:val="00A04F66"/>
    <w:rsid w:val="00A135C6"/>
    <w:rsid w:val="00A17E51"/>
    <w:rsid w:val="00A27464"/>
    <w:rsid w:val="00A365ED"/>
    <w:rsid w:val="00A57050"/>
    <w:rsid w:val="00A624F0"/>
    <w:rsid w:val="00A83320"/>
    <w:rsid w:val="00AA295A"/>
    <w:rsid w:val="00AC46E8"/>
    <w:rsid w:val="00AC6487"/>
    <w:rsid w:val="00B116CC"/>
    <w:rsid w:val="00B11B61"/>
    <w:rsid w:val="00B169A5"/>
    <w:rsid w:val="00B25F0B"/>
    <w:rsid w:val="00B273DE"/>
    <w:rsid w:val="00B32619"/>
    <w:rsid w:val="00B35BD3"/>
    <w:rsid w:val="00B44024"/>
    <w:rsid w:val="00B83FDA"/>
    <w:rsid w:val="00BA7F7B"/>
    <w:rsid w:val="00BB6309"/>
    <w:rsid w:val="00BB7AF8"/>
    <w:rsid w:val="00BC05AC"/>
    <w:rsid w:val="00C01EEC"/>
    <w:rsid w:val="00C10742"/>
    <w:rsid w:val="00C14AA4"/>
    <w:rsid w:val="00C14CE6"/>
    <w:rsid w:val="00C16594"/>
    <w:rsid w:val="00C50896"/>
    <w:rsid w:val="00C50A54"/>
    <w:rsid w:val="00C54E7B"/>
    <w:rsid w:val="00C725B7"/>
    <w:rsid w:val="00C73E52"/>
    <w:rsid w:val="00C81C9A"/>
    <w:rsid w:val="00C8256D"/>
    <w:rsid w:val="00C93A6C"/>
    <w:rsid w:val="00CB4DF4"/>
    <w:rsid w:val="00CC3D03"/>
    <w:rsid w:val="00CD4B01"/>
    <w:rsid w:val="00CE1A38"/>
    <w:rsid w:val="00CF4CEC"/>
    <w:rsid w:val="00D142E7"/>
    <w:rsid w:val="00D20589"/>
    <w:rsid w:val="00D25E6E"/>
    <w:rsid w:val="00D5705A"/>
    <w:rsid w:val="00D7727C"/>
    <w:rsid w:val="00D82FEC"/>
    <w:rsid w:val="00DA14CE"/>
    <w:rsid w:val="00DA5D86"/>
    <w:rsid w:val="00DC15AC"/>
    <w:rsid w:val="00DC4B11"/>
    <w:rsid w:val="00DC71DC"/>
    <w:rsid w:val="00DD0000"/>
    <w:rsid w:val="00DD2512"/>
    <w:rsid w:val="00DE44EA"/>
    <w:rsid w:val="00E06042"/>
    <w:rsid w:val="00E26382"/>
    <w:rsid w:val="00E32B51"/>
    <w:rsid w:val="00E433A3"/>
    <w:rsid w:val="00E64975"/>
    <w:rsid w:val="00E71FBF"/>
    <w:rsid w:val="00EA113F"/>
    <w:rsid w:val="00EA1431"/>
    <w:rsid w:val="00ED0946"/>
    <w:rsid w:val="00EE2D4C"/>
    <w:rsid w:val="00EE5988"/>
    <w:rsid w:val="00EF726D"/>
    <w:rsid w:val="00F07B60"/>
    <w:rsid w:val="00F21C5E"/>
    <w:rsid w:val="00F330F1"/>
    <w:rsid w:val="00F463DB"/>
    <w:rsid w:val="00F5395B"/>
    <w:rsid w:val="00F53AA9"/>
    <w:rsid w:val="00F60E58"/>
    <w:rsid w:val="00F6745D"/>
    <w:rsid w:val="00F73377"/>
    <w:rsid w:val="00FC7C7B"/>
    <w:rsid w:val="1B799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4A717C"/>
  <w15:docId w15:val="{9C7C66AD-BBA4-4A6D-8F9E-DE2462D0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semiHidden/>
    <w:qFormat/>
    <w:rsid w:val="003C37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semiHidden/>
    <w:rsid w:val="00F5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C3779"/>
  </w:style>
  <w:style w:type="table" w:styleId="Tabellenraster">
    <w:name w:val="Table Grid"/>
    <w:basedOn w:val="NormaleTabelle"/>
    <w:uiPriority w:val="39"/>
    <w:rsid w:val="00E43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Lmmstandard">
    <w:name w:val="FiBL_mm_standard"/>
    <w:qFormat/>
    <w:rsid w:val="007F2027"/>
    <w:pPr>
      <w:spacing w:after="120" w:line="280" w:lineRule="atLeast"/>
    </w:pPr>
    <w:rPr>
      <w:rFonts w:ascii="Palatino Linotype" w:hAnsi="Palatino Linotype"/>
    </w:rPr>
  </w:style>
  <w:style w:type="character" w:styleId="Hyperlink">
    <w:name w:val="Hyperlink"/>
    <w:basedOn w:val="Absatz-Standardschriftart"/>
    <w:uiPriority w:val="99"/>
    <w:semiHidden/>
    <w:rsid w:val="002925F1"/>
    <w:rPr>
      <w:color w:val="646464" w:themeColor="hyperlink"/>
      <w:u w:val="single"/>
    </w:rPr>
  </w:style>
  <w:style w:type="paragraph" w:customStyle="1" w:styleId="FiBLmmfusszeile">
    <w:name w:val="FiBL_mm_fusszeile"/>
    <w:basedOn w:val="Standard"/>
    <w:qFormat/>
    <w:rsid w:val="000D7A27"/>
    <w:pPr>
      <w:widowControl w:val="0"/>
      <w:autoSpaceDE w:val="0"/>
      <w:autoSpaceDN w:val="0"/>
      <w:spacing w:after="0" w:line="240" w:lineRule="atLeast"/>
      <w:ind w:right="-569"/>
    </w:pPr>
    <w:rPr>
      <w:rFonts w:ascii="Gill Sans MT" w:eastAsia="Sitka Text" w:hAnsi="Gill Sans MT" w:cs="Sitka Text"/>
      <w:color w:val="231F20"/>
      <w:w w:val="105"/>
      <w:sz w:val="2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A13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3779"/>
    <w:rPr>
      <w:rFonts w:ascii="Segoe UI" w:hAnsi="Segoe UI" w:cs="Segoe UI"/>
      <w:sz w:val="18"/>
      <w:szCs w:val="18"/>
    </w:rPr>
  </w:style>
  <w:style w:type="paragraph" w:customStyle="1" w:styleId="FiBLmmaufzhlungszeichen">
    <w:name w:val="FiBL_mm_aufzählungszeichen"/>
    <w:basedOn w:val="FiBLmmstandard"/>
    <w:qFormat/>
    <w:rsid w:val="00ED0946"/>
    <w:pPr>
      <w:numPr>
        <w:numId w:val="1"/>
      </w:numPr>
      <w:ind w:left="426" w:hanging="284"/>
    </w:pPr>
  </w:style>
  <w:style w:type="paragraph" w:customStyle="1" w:styleId="FiBLmmaufzhlungszeichen2">
    <w:name w:val="FiBL_mm_aufzählungszeichen_2"/>
    <w:basedOn w:val="FiBLmmaufzhlungszeichen"/>
    <w:qFormat/>
    <w:rsid w:val="001354F8"/>
    <w:pPr>
      <w:numPr>
        <w:ilvl w:val="1"/>
      </w:numPr>
      <w:ind w:left="568" w:hanging="284"/>
    </w:pPr>
  </w:style>
  <w:style w:type="paragraph" w:customStyle="1" w:styleId="FiBLmmaufzhlungszeichen3">
    <w:name w:val="FiBL_mm_aufzählungszeichen_3"/>
    <w:basedOn w:val="FiBLmmaufzhlungszeichen"/>
    <w:qFormat/>
    <w:rsid w:val="001354F8"/>
    <w:pPr>
      <w:numPr>
        <w:ilvl w:val="2"/>
      </w:numPr>
      <w:ind w:left="709" w:hanging="284"/>
    </w:pPr>
  </w:style>
  <w:style w:type="paragraph" w:customStyle="1" w:styleId="FiBLmmnummerierung">
    <w:name w:val="FiBL_mm_nummerierung"/>
    <w:basedOn w:val="FiBLmmstandard"/>
    <w:qFormat/>
    <w:rsid w:val="00C8256D"/>
    <w:pPr>
      <w:numPr>
        <w:numId w:val="3"/>
      </w:numPr>
      <w:ind w:left="426" w:hanging="284"/>
    </w:pPr>
  </w:style>
  <w:style w:type="character" w:styleId="Platzhaltertext">
    <w:name w:val="Placeholder Text"/>
    <w:basedOn w:val="Absatz-Standardschriftart"/>
    <w:uiPriority w:val="99"/>
    <w:semiHidden/>
    <w:rsid w:val="00540B0E"/>
    <w:rPr>
      <w:color w:val="808080"/>
    </w:rPr>
  </w:style>
  <w:style w:type="paragraph" w:customStyle="1" w:styleId="FiBLmmtitel">
    <w:name w:val="FiBL_mm_titel"/>
    <w:basedOn w:val="FiBLmmstandard"/>
    <w:qFormat/>
    <w:rsid w:val="004762FE"/>
    <w:pPr>
      <w:spacing w:before="240" w:after="240"/>
    </w:pPr>
    <w:rPr>
      <w:rFonts w:ascii="Gill Sans MT" w:hAnsi="Gill Sans MT"/>
      <w:b/>
      <w:sz w:val="34"/>
    </w:rPr>
  </w:style>
  <w:style w:type="paragraph" w:customStyle="1" w:styleId="FiBLmmlead">
    <w:name w:val="FiBL_mm_lead"/>
    <w:basedOn w:val="FiBLmmstandard"/>
    <w:next w:val="FiBLmmstandard"/>
    <w:qFormat/>
    <w:rsid w:val="00446B90"/>
    <w:pPr>
      <w:spacing w:after="200"/>
    </w:pPr>
    <w:rPr>
      <w:rFonts w:ascii="Gill Sans MT" w:hAnsi="Gill Sans MT"/>
      <w:b/>
    </w:rPr>
  </w:style>
  <w:style w:type="paragraph" w:customStyle="1" w:styleId="FiBLmmheader">
    <w:name w:val="FiBL_mm_header"/>
    <w:basedOn w:val="FiBLmmstandard"/>
    <w:qFormat/>
    <w:rsid w:val="007666E3"/>
    <w:pPr>
      <w:spacing w:after="0" w:line="240" w:lineRule="auto"/>
    </w:pPr>
    <w:rPr>
      <w:rFonts w:ascii="Gill Sans MT" w:hAnsi="Gill Sans MT"/>
    </w:rPr>
  </w:style>
  <w:style w:type="paragraph" w:customStyle="1" w:styleId="FiBLmmzwischentitel">
    <w:name w:val="FiBL_mm_zwischentitel"/>
    <w:basedOn w:val="FiBLmmstandard"/>
    <w:qFormat/>
    <w:rsid w:val="00B116CC"/>
    <w:pPr>
      <w:keepNext/>
      <w:spacing w:before="360"/>
    </w:pPr>
    <w:rPr>
      <w:rFonts w:ascii="Gill Sans MT" w:hAnsi="Gill Sans MT"/>
      <w:b/>
    </w:rPr>
  </w:style>
  <w:style w:type="paragraph" w:customStyle="1" w:styleId="FiBLmmzusatzinfo">
    <w:name w:val="FiBL_mm_zusatzinfo"/>
    <w:basedOn w:val="FiBLmmstandard"/>
    <w:next w:val="FiBLmmstandard"/>
    <w:qFormat/>
    <w:rsid w:val="00B116CC"/>
    <w:pPr>
      <w:keepNext/>
      <w:spacing w:before="400"/>
    </w:pPr>
    <w:rPr>
      <w:rFonts w:ascii="Gill Sans MT" w:hAnsi="Gill Sans MT"/>
      <w:b/>
    </w:rPr>
  </w:style>
  <w:style w:type="paragraph" w:customStyle="1" w:styleId="FiBLmmliteratur">
    <w:name w:val="FiBL_mm_literatur"/>
    <w:basedOn w:val="FiBLmmstandard"/>
    <w:qFormat/>
    <w:rsid w:val="007F2027"/>
    <w:pPr>
      <w:spacing w:before="40" w:after="40" w:line="240" w:lineRule="auto"/>
      <w:ind w:left="425" w:hanging="425"/>
    </w:pPr>
    <w:rPr>
      <w:sz w:val="20"/>
    </w:rPr>
  </w:style>
  <w:style w:type="paragraph" w:customStyle="1" w:styleId="FiBLmmseitennummer">
    <w:name w:val="FiBL_mm_seitennummer"/>
    <w:basedOn w:val="FiBLmmfusszeile"/>
    <w:qFormat/>
    <w:rsid w:val="00DA14CE"/>
  </w:style>
  <w:style w:type="paragraph" w:customStyle="1" w:styleId="FiBLmmerluterungaufzhlung">
    <w:name w:val="FiBL_mm_erläuterung_aufzählung"/>
    <w:basedOn w:val="FiBLmmaufzhlungszeichen"/>
    <w:qFormat/>
    <w:rsid w:val="002D757B"/>
    <w:pPr>
      <w:numPr>
        <w:numId w:val="4"/>
      </w:num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00" w:line="240" w:lineRule="auto"/>
      <w:ind w:left="426" w:right="170" w:hanging="284"/>
    </w:pPr>
    <w:rPr>
      <w:rFonts w:ascii="Gill Sans MT" w:hAnsi="Gill Sans MT"/>
    </w:rPr>
  </w:style>
  <w:style w:type="paragraph" w:customStyle="1" w:styleId="FiBLmmerluterung">
    <w:name w:val="FiBL_mm_erläuterung"/>
    <w:basedOn w:val="Standard"/>
    <w:qFormat/>
    <w:rsid w:val="007F2027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spacing w:after="120" w:line="280" w:lineRule="atLeast"/>
      <w:ind w:left="142" w:right="170"/>
    </w:pPr>
    <w:rPr>
      <w:rFonts w:ascii="Gill Sans MT" w:hAnsi="Gill Sans MT"/>
    </w:rPr>
  </w:style>
  <w:style w:type="paragraph" w:customStyle="1" w:styleId="FiBLmmerluterungtitel">
    <w:name w:val="FiBL_mm_erläuterung_titel"/>
    <w:basedOn w:val="FiBLmmzusatzinfo"/>
    <w:qFormat/>
    <w:rsid w:val="00A17E51"/>
    <w:pPr>
      <w:pBdr>
        <w:top w:val="single" w:sz="48" w:space="1" w:color="E1EDF2"/>
        <w:left w:val="single" w:sz="48" w:space="4" w:color="E1EDF2"/>
        <w:bottom w:val="single" w:sz="48" w:space="1" w:color="E1EDF2"/>
        <w:right w:val="single" w:sz="48" w:space="4" w:color="E1EDF2"/>
      </w:pBdr>
      <w:shd w:val="clear" w:color="auto" w:fill="E1EDF2"/>
      <w:ind w:left="142" w:right="170"/>
    </w:pPr>
  </w:style>
  <w:style w:type="character" w:styleId="BesuchterLink">
    <w:name w:val="FollowedHyperlink"/>
    <w:basedOn w:val="Absatz-Standardschriftart"/>
    <w:uiPriority w:val="99"/>
    <w:semiHidden/>
    <w:rsid w:val="004730C6"/>
    <w:rPr>
      <w:color w:val="969696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semiHidden/>
    <w:rsid w:val="00C16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16594"/>
  </w:style>
  <w:style w:type="character" w:styleId="NichtaufgelsteErwhnung">
    <w:name w:val="Unresolved Mention"/>
    <w:basedOn w:val="Absatz-Standardschriftart"/>
    <w:uiPriority w:val="99"/>
    <w:semiHidden/>
    <w:unhideWhenUsed/>
    <w:rsid w:val="009F3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thuenen.de/media/publikationen/thuenen-report/Thuenen_Report_65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orgprints.org/id/eprint/51949/1/sanders-etal-2023-UGOE_Schlussbericht-III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ibl.org/de/infothek/meldung/podcast-was-bringt-bio-blick-in-ueber-500-studien" TargetMode="External"/><Relationship Id="rId20" Type="http://schemas.openxmlformats.org/officeDocument/2006/relationships/hyperlink" Target="https://www.fibl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adrian.krebs@fibl.org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ibl.org/de/infothek/medien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uern.sanders@fibl.org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bl.org/" TargetMode="External"/><Relationship Id="rId1" Type="http://schemas.openxmlformats.org/officeDocument/2006/relationships/hyperlink" Target="mailto:info.suisse@fib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646464"/>
      </a:hlink>
      <a:folHlink>
        <a:srgbClr val="96969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e xmlns="dd18740c-b141-4d05-9751-e9f3dcf7e76f">Medienmitteilung</Kategorie>
    <Sprache xmlns="dd18740c-b141-4d05-9751-e9f3dcf7e76f">Deutsch</Sprache>
    <TranslationStateDownloadLink xmlns="http://schemas.microsoft.com/sharepoint/v3">
      <Url xsi:nil="true"/>
      <Description xsi:nil="true"/>
    </TranslationStateDownloadLink>
    <FiBL_x002d_Standort xmlns="926ccd4c-651f-4ccc-af87-3950eef9fdad">FiBL CH</FiBL_x002d_Standort>
    <Download_x0020_a_x0020_copy xmlns="926ccd4c-651f-4ccc-af87-3950eef9fdad" xsi:nil="true"/>
    <Titel xmlns="926ccd4c-651f-4ccc-af87-3950eef9fdad">Vorlage zur Erstellung einer Medienmitteilung (nur für die Kommunikationsgruppe)</Tite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8CE18F8DE21746B13E196ECDFF44C0" ma:contentTypeVersion="6" ma:contentTypeDescription="Create a new document." ma:contentTypeScope="" ma:versionID="f8141e7dec8f88dd9d9c802f1a066636">
  <xsd:schema xmlns:xsd="http://www.w3.org/2001/XMLSchema" xmlns:xs="http://www.w3.org/2001/XMLSchema" xmlns:p="http://schemas.microsoft.com/office/2006/metadata/properties" xmlns:ns1="http://schemas.microsoft.com/sharepoint/v3" xmlns:ns2="dd18740c-b141-4d05-9751-e9f3dcf7e76f" xmlns:ns3="926ccd4c-651f-4ccc-af87-3950eef9fdad" targetNamespace="http://schemas.microsoft.com/office/2006/metadata/properties" ma:root="true" ma:fieldsID="0b28554a73079318f1210bfdd523b170" ns1:_="" ns2:_="" ns3:_="">
    <xsd:import namespace="http://schemas.microsoft.com/sharepoint/v3"/>
    <xsd:import namespace="dd18740c-b141-4d05-9751-e9f3dcf7e76f"/>
    <xsd:import namespace="926ccd4c-651f-4ccc-af87-3950eef9fdad"/>
    <xsd:element name="properties">
      <xsd:complexType>
        <xsd:sequence>
          <xsd:element name="documentManagement">
            <xsd:complexType>
              <xsd:all>
                <xsd:element ref="ns2:Kategorie"/>
                <xsd:element ref="ns2:Sprache" minOccurs="0"/>
                <xsd:element ref="ns3:FiBL_x002d_Standort" minOccurs="0"/>
                <xsd:element ref="ns1:TranslationStateDownloadLink" minOccurs="0"/>
                <xsd:element ref="ns3:Download_x0020_a_x0020_copy" minOccurs="0"/>
                <xsd:element ref="ns3:Tit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ranslationStateDownloadLink" ma:index="11" nillable="true" ma:displayName="Downloadlink" ma:internalName="TranslationStateDownload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8740c-b141-4d05-9751-e9f3dcf7e76f" elementFormDefault="qualified">
    <xsd:import namespace="http://schemas.microsoft.com/office/2006/documentManagement/types"/>
    <xsd:import namespace="http://schemas.microsoft.com/office/infopath/2007/PartnerControls"/>
    <xsd:element name="Kategorie" ma:index="2" ma:displayName="Kategorie" ma:default="Bericht" ma:format="Dropdown" ma:indexed="true" ma:internalName="Kategorie">
      <xsd:simpleType>
        <xsd:restriction base="dms:Choice">
          <xsd:enumeration value="Bericht"/>
          <xsd:enumeration value="Brief"/>
          <xsd:enumeration value="Corporate Identity (CI)"/>
          <xsd:enumeration value="EU-Bericht"/>
          <xsd:enumeration value="Folie"/>
          <xsd:enumeration value="Kurse"/>
          <xsd:enumeration value="Logo"/>
          <xsd:enumeration value="Medienmitteilung"/>
          <xsd:enumeration value="Ordnerrücken"/>
          <xsd:enumeration value="Praktikums-/ Semester- /Diplomarbeiten"/>
          <xsd:enumeration value="Sonderformate"/>
          <xsd:enumeration value="Protokolle"/>
          <xsd:enumeration value="Vertrag"/>
        </xsd:restriction>
      </xsd:simpleType>
    </xsd:element>
    <xsd:element name="Sprache" ma:index="3" nillable="true" ma:displayName="Sprache" ma:default="Deutsch" ma:format="Dropdown" ma:internalName="Sprache">
      <xsd:simpleType>
        <xsd:restriction base="dms:Choice">
          <xsd:enumeration value="Deutsch"/>
          <xsd:enumeration value="Englisch"/>
          <xsd:enumeration value="Französisch"/>
          <xsd:enumeration value="Italienisch"/>
          <xsd:enumeration value="Spanisc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ccd4c-651f-4ccc-af87-3950eef9fdad" elementFormDefault="qualified">
    <xsd:import namespace="http://schemas.microsoft.com/office/2006/documentManagement/types"/>
    <xsd:import namespace="http://schemas.microsoft.com/office/infopath/2007/PartnerControls"/>
    <xsd:element name="FiBL_x002d_Standort" ma:index="4" nillable="true" ma:displayName="FiBL-Standort" ma:default="All FiBL" ma:format="Dropdown" ma:internalName="FiBL_x002d_Standort">
      <xsd:simpleType>
        <xsd:restriction base="dms:Choice">
          <xsd:enumeration value="All FiBL"/>
          <xsd:enumeration value="FiBL CH"/>
          <xsd:enumeration value="FiBL DE"/>
          <xsd:enumeration value="FiBL AT"/>
          <xsd:enumeration value="FiBL EU"/>
          <xsd:enumeration value="Team FiBL France"/>
        </xsd:restriction>
      </xsd:simpleType>
    </xsd:element>
    <xsd:element name="Download_x0020_a_x0020_copy" ma:index="12" nillable="true" ma:displayName="Download a copy" ma:internalName="Download_x0020_a_x0020_copy">
      <xsd:simpleType>
        <xsd:restriction base="dms:Text">
          <xsd:maxLength value="255"/>
        </xsd:restriction>
      </xsd:simpleType>
    </xsd:element>
    <xsd:element name="Titel" ma:index="13" nillable="true" ma:displayName="Titel" ma:internalName="Tit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2DA79-26FB-4FF3-BEBA-7D46D1470C39}">
  <ds:schemaRefs>
    <ds:schemaRef ds:uri="http://schemas.microsoft.com/office/2006/metadata/properties"/>
    <ds:schemaRef ds:uri="http://schemas.microsoft.com/office/infopath/2007/PartnerControls"/>
    <ds:schemaRef ds:uri="dd18740c-b141-4d05-9751-e9f3dcf7e76f"/>
    <ds:schemaRef ds:uri="http://schemas.microsoft.com/sharepoint/v3"/>
    <ds:schemaRef ds:uri="926ccd4c-651f-4ccc-af87-3950eef9fdad"/>
  </ds:schemaRefs>
</ds:datastoreItem>
</file>

<file path=customXml/itemProps2.xml><?xml version="1.0" encoding="utf-8"?>
<ds:datastoreItem xmlns:ds="http://schemas.openxmlformats.org/officeDocument/2006/customXml" ds:itemID="{1E6E0B73-3618-4E9C-85D3-6508473D29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396F17-7E60-42F1-A37E-0AA2FBEB5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d18740c-b141-4d05-9751-e9f3dcf7e76f"/>
    <ds:schemaRef ds:uri="926ccd4c-651f-4ccc-af87-3950eef9f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E917CE-2E87-4CBF-9487-5EE500862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1071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Medienmitteilung "Was der Biolandbau für Umwelt und Gesellschaft leistet – Metastudie liefert umfassende Resultate"</vt:lpstr>
    </vt:vector>
  </TitlesOfParts>
  <Company/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 "Was der Biolandbau für Umwelt und Gesellschaft leistet – Metastudie liefert umfassende Resultate"</dc:title>
  <dc:creator>FiBL</dc:creator>
  <cp:lastModifiedBy>Basler Andreas</cp:lastModifiedBy>
  <cp:revision>9</cp:revision>
  <cp:lastPrinted>2025-04-08T11:39:00Z</cp:lastPrinted>
  <dcterms:created xsi:type="dcterms:W3CDTF">2025-04-08T11:38:00Z</dcterms:created>
  <dcterms:modified xsi:type="dcterms:W3CDTF">2025-04-08T12:29:00Z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0x010100038CE18F8DE21746B13E196ECDFF44C0</vt:lpwstr>
  </property>
</Properties>
</file>